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sz w:val="40"/>
          <w:szCs w:val="40"/>
        </w:rPr>
      </w:pPr>
      <w:bookmarkStart w:colFirst="0" w:colLast="0" w:name="_wsenrc2bm1pe" w:id="0"/>
      <w:bookmarkEnd w:id="0"/>
      <w:r w:rsidDel="00000000" w:rsidR="00000000" w:rsidRPr="00000000">
        <w:rPr>
          <w:sz w:val="40"/>
          <w:szCs w:val="40"/>
          <w:rtl w:val="0"/>
        </w:rPr>
        <w:t xml:space="preserve">Von sozialen Netzwerken, algorithmischer Radikalisierung</w:t>
      </w:r>
      <w:r w:rsidDel="00000000" w:rsidR="00000000" w:rsidRPr="00000000">
        <w:rPr>
          <w:sz w:val="40"/>
          <w:szCs w:val="40"/>
          <w:rtl w:val="0"/>
        </w:rPr>
        <w:t xml:space="preserve">, Echokammern und Rabbit Holes</w:t>
      </w:r>
      <w:r w:rsidDel="00000000" w:rsidR="00000000" w:rsidRPr="00000000">
        <w:rPr>
          <w:rtl w:val="0"/>
        </w:rPr>
      </w:r>
    </w:p>
    <w:p w:rsidR="00000000" w:rsidDel="00000000" w:rsidP="00000000" w:rsidRDefault="00000000" w:rsidRPr="00000000" w14:paraId="00000002">
      <w:pPr>
        <w:jc w:val="center"/>
        <w:rPr>
          <w:i w:val="1"/>
        </w:rPr>
      </w:pPr>
      <w:r w:rsidDel="00000000" w:rsidR="00000000" w:rsidRPr="00000000">
        <w:rPr>
          <w:i w:val="1"/>
          <w:rtl w:val="0"/>
        </w:rPr>
        <w:t xml:space="preserve">Tobias Kietreiber, Lukas Daniel Klausner, Felix Krejca</w:t>
      </w:r>
      <w:r w:rsidDel="00000000" w:rsidR="00000000" w:rsidRPr="00000000">
        <w:rPr>
          <w:i w:val="1"/>
          <w:vertAlign w:val="superscript"/>
        </w:rPr>
        <w:footnoteReference w:customMarkFollows="0" w:id="0"/>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Soziale Netzwerke sind nicht mehr das, was sie einmal waren. </w:t>
      </w:r>
      <w:r w:rsidDel="00000000" w:rsidR="00000000" w:rsidRPr="00000000">
        <w:rPr>
          <w:rtl w:val="0"/>
        </w:rPr>
        <w:t xml:space="preserve">Der Satz ist weniger nichtssagend, als er auf den ersten Blick wirken mag</w:t>
      </w:r>
      <w:r w:rsidDel="00000000" w:rsidR="00000000" w:rsidRPr="00000000">
        <w:rPr>
          <w:rtl w:val="0"/>
        </w:rPr>
        <w:t xml:space="preserve">: Ja, natürlich sind BeReal, Snapchat und TikTok etwas anderes als LiveJournal, Myspace und StudiVZ, und auch sonst sind die sozialen Medien der Zwanzigerjahre auf viele verschiedene Arten anders als jene rund um die Jahrtausendwende – aber wir meinen damit etwas anderes:</w:t>
      </w:r>
      <w:r w:rsidDel="00000000" w:rsidR="00000000" w:rsidRPr="00000000">
        <w:rPr>
          <w:rtl w:val="0"/>
        </w:rPr>
        <w:t xml:space="preserve"> I</w:t>
      </w:r>
      <w:r w:rsidDel="00000000" w:rsidR="00000000" w:rsidRPr="00000000">
        <w:rPr>
          <w:rtl w:val="0"/>
        </w:rPr>
        <w:t xml:space="preserve">n der jeweiligen Anfangsphase sozialer Medien wie </w:t>
      </w:r>
      <w:r w:rsidDel="00000000" w:rsidR="00000000" w:rsidRPr="00000000">
        <w:rPr>
          <w:rtl w:val="0"/>
        </w:rPr>
        <w:t xml:space="preserve">Facebook oder Twitter</w:t>
      </w:r>
      <w:r w:rsidDel="00000000" w:rsidR="00000000" w:rsidRPr="00000000">
        <w:rPr>
          <w:rtl w:val="0"/>
        </w:rPr>
        <w:t xml:space="preserve"> durften Nutzer:innen davon ausgehen, dass Accounts mit identischen Netzwerken auch dieselben Inhalte angezeigt wurden (eine sogenannte »chronologisch angeordnete Timeline«).</w:t>
      </w:r>
      <w:r w:rsidDel="00000000" w:rsidR="00000000" w:rsidRPr="00000000">
        <w:rPr>
          <w:vertAlign w:val="superscript"/>
        </w:rPr>
        <w:footnoteReference w:customMarkFollows="0" w:id="1"/>
      </w:r>
      <w:r w:rsidDel="00000000" w:rsidR="00000000" w:rsidRPr="00000000">
        <w:rPr>
          <w:rtl w:val="0"/>
        </w:rPr>
        <w:t xml:space="preserve"> H</w:t>
      </w:r>
      <w:r w:rsidDel="00000000" w:rsidR="00000000" w:rsidRPr="00000000">
        <w:rPr>
          <w:rtl w:val="0"/>
        </w:rPr>
        <w:t xml:space="preserve">eutzutage ist das meist nicht mehr die Standardoption, sondern es ist je nach sozialem Netzwerk oft nur noch durch explizite Auswahl in den Einstellungen, über Umwege (etwa durch separat anzulegende Listen bei Twitter/X) oder </w:t>
      </w:r>
      <w:r w:rsidDel="00000000" w:rsidR="00000000" w:rsidRPr="00000000">
        <w:rPr>
          <w:rtl w:val="0"/>
        </w:rPr>
        <w:t xml:space="preserve">gar nicht mehr möglich</w:t>
      </w:r>
      <w:r w:rsidDel="00000000" w:rsidR="00000000" w:rsidRPr="00000000">
        <w:rPr>
          <w:rtl w:val="0"/>
        </w:rPr>
        <w:t xml:space="preserve">, einen derartigen Feed zu lesen.</w:t>
      </w:r>
      <w:r w:rsidDel="00000000" w:rsidR="00000000" w:rsidRPr="00000000">
        <w:rPr>
          <w:vertAlign w:val="superscript"/>
        </w:rPr>
        <w:footnoteReference w:customMarkFollows="0" w:id="2"/>
      </w: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Was hat nun </w:t>
      </w:r>
      <w:r w:rsidDel="00000000" w:rsidR="00000000" w:rsidRPr="00000000">
        <w:rPr>
          <w:rtl w:val="0"/>
        </w:rPr>
        <w:t xml:space="preserve">also den</w:t>
      </w:r>
      <w:r w:rsidDel="00000000" w:rsidR="00000000" w:rsidRPr="00000000">
        <w:rPr>
          <w:rtl w:val="0"/>
        </w:rPr>
        <w:t xml:space="preserve"> chronologischen Feed ersetzt? An seine Stelle trat die algorithmisch kuratierte Timeline. Sie zeigt nicht mehr nur Beiträge der abonnierten Accounts, in der Reihenfolge der Veröffentlichung, sondern wird durch algorithmische Personalisierung um besonders populäre Beiträge anderer Nutzer:innen, Werbung, etc. ergänzt. Entscheidend ist dabei, dass der Algorithmus auf dem bisherigen Nutzungsverhalten basiert: Es werden gezielt ähnliche Inhalte bevorzugt, mit denen bereits viele Menschen interagiert haben </w:t>
      </w:r>
      <w:r w:rsidDel="00000000" w:rsidR="00000000" w:rsidRPr="00000000">
        <w:rPr>
          <w:rtl w:val="0"/>
        </w:rPr>
        <w:t xml:space="preserve">– und gerade kontroverse oder radikale Beiträge bekommen besonders viel Aufmerksamkeit</w:t>
      </w:r>
      <w:r w:rsidDel="00000000" w:rsidR="00000000" w:rsidRPr="00000000">
        <w:rPr>
          <w:rtl w:val="0"/>
        </w:rPr>
        <w:t xml:space="preserve">.</w:t>
      </w:r>
      <w:r w:rsidDel="00000000" w:rsidR="00000000" w:rsidRPr="00000000">
        <w:rPr>
          <w:vertAlign w:val="superscript"/>
        </w:rPr>
        <w:footnoteReference w:customMarkFollows="0" w:id="3"/>
      </w:r>
      <w:r w:rsidDel="00000000" w:rsidR="00000000" w:rsidRPr="00000000">
        <w:rPr>
          <w:rtl w:val="0"/>
        </w:rPr>
        <w:t xml:space="preserve"> Dadurch steigt die Wahrscheinlichkeit weiterer Reaktionen erheblich. Für die Plattformen hat das klare Vorteile: Werbung lässt sich nahtlos einbinden; die Verweildauer nimmt zu, da immer wieder neue Inhalte präsentiert werden;</w:t>
      </w:r>
      <w:r w:rsidDel="00000000" w:rsidR="00000000" w:rsidRPr="00000000">
        <w:rPr>
          <w:vertAlign w:val="superscript"/>
        </w:rPr>
        <w:footnoteReference w:customMarkFollows="0" w:id="4"/>
      </w:r>
      <w:r w:rsidDel="00000000" w:rsidR="00000000" w:rsidRPr="00000000">
        <w:rPr>
          <w:rtl w:val="0"/>
        </w:rPr>
        <w:t xml:space="preserve"> die Interaktionsraten</w:t>
      </w:r>
      <w:r w:rsidDel="00000000" w:rsidR="00000000" w:rsidRPr="00000000">
        <w:rPr>
          <w:vertAlign w:val="superscript"/>
        </w:rPr>
        <w:footnoteReference w:customMarkFollows="0" w:id="5"/>
      </w:r>
      <w:r w:rsidDel="00000000" w:rsidR="00000000" w:rsidRPr="00000000">
        <w:rPr>
          <w:rtl w:val="0"/>
        </w:rPr>
        <w:t xml:space="preserve"> steigen – und am Ende liefert all das stärkere Verkaufsargumente gegenüber Werbekunden und damit höhere Werbeumsätze.</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Ähnliche Veränderungen gab es auch bei nicht ganz so offensichtlich </w:t>
      </w:r>
      <w:r w:rsidDel="00000000" w:rsidR="00000000" w:rsidRPr="00000000">
        <w:rPr>
          <w:rtl w:val="0"/>
        </w:rPr>
        <w:t xml:space="preserve">feedbasierten</w:t>
      </w:r>
      <w:r w:rsidDel="00000000" w:rsidR="00000000" w:rsidRPr="00000000">
        <w:rPr>
          <w:rtl w:val="0"/>
        </w:rPr>
        <w:t xml:space="preserve"> Websites wie YouTube: </w:t>
      </w:r>
      <w:r w:rsidDel="00000000" w:rsidR="00000000" w:rsidRPr="00000000">
        <w:rPr>
          <w:rtl w:val="0"/>
        </w:rPr>
        <w:t xml:space="preserve">In der Frühzeit dieser Plattform wurden die »Featured Videos« noch von Hand kuratiert und ausgewählt, heute kommt auch hier ein sogenanntes </w:t>
      </w:r>
      <w:r w:rsidDel="00000000" w:rsidR="00000000" w:rsidRPr="00000000">
        <w:rPr>
          <w:rtl w:val="0"/>
        </w:rPr>
        <w:t xml:space="preserve">»Recommender-System«</w:t>
      </w:r>
      <w:r w:rsidDel="00000000" w:rsidR="00000000" w:rsidRPr="00000000">
        <w:rPr>
          <w:rtl w:val="0"/>
        </w:rPr>
        <w:t xml:space="preserve"> (so heißt die entsprechende Art von Algorithmen) zum Einsatz.</w:t>
      </w:r>
      <w:r w:rsidDel="00000000" w:rsidR="00000000" w:rsidRPr="00000000">
        <w:rPr>
          <w:vertAlign w:val="superscript"/>
        </w:rPr>
        <w:footnoteReference w:customMarkFollows="0" w:id="6"/>
      </w: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b w:val="1"/>
        </w:rPr>
      </w:pPr>
      <w:r w:rsidDel="00000000" w:rsidR="00000000" w:rsidRPr="00000000">
        <w:rPr>
          <w:b w:val="1"/>
          <w:rtl w:val="0"/>
        </w:rPr>
        <w:t xml:space="preserve">Funktionsweise und Transparenz algorithmischer Steuerung</w:t>
      </w: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b w:val="1"/>
        </w:rPr>
      </w:pPr>
      <w:r w:rsidDel="00000000" w:rsidR="00000000" w:rsidRPr="00000000">
        <w:rPr>
          <w:rtl w:val="0"/>
        </w:rPr>
        <w:t xml:space="preserve">Die konkrete Funktionsweise solcher Systeme hängt sehr stark von der Plattform ab; gemeinsam ist ihnen allerdings, wie wenig öffentlich über ihre Mechanismen </w:t>
      </w:r>
      <w:r w:rsidDel="00000000" w:rsidR="00000000" w:rsidRPr="00000000">
        <w:rPr>
          <w:rtl w:val="0"/>
        </w:rPr>
        <w:t xml:space="preserve">von den </w:t>
      </w:r>
      <w:r w:rsidDel="00000000" w:rsidR="00000000" w:rsidRPr="00000000">
        <w:rPr>
          <w:rtl w:val="0"/>
        </w:rPr>
        <w:t xml:space="preserve">Plattformbetreibern</w:t>
      </w:r>
      <w:r w:rsidDel="00000000" w:rsidR="00000000" w:rsidRPr="00000000">
        <w:rPr>
          <w:rtl w:val="0"/>
        </w:rPr>
        <w:t xml:space="preserve"> preisgegeben wird</w:t>
      </w:r>
      <w:r w:rsidDel="00000000" w:rsidR="00000000" w:rsidRPr="00000000">
        <w:rPr>
          <w:rtl w:val="0"/>
        </w:rPr>
        <w:t xml:space="preserve">. </w:t>
      </w:r>
      <w:r w:rsidDel="00000000" w:rsidR="00000000" w:rsidRPr="00000000">
        <w:rPr>
          <w:rtl w:val="0"/>
        </w:rPr>
        <w:t xml:space="preserve">Oft können Nutzer:innen nur spekulieren, welche Aspekte der von ihnen erstellten Inhalte dazu führen, dass diese von der Plattform verbreitet und einer breiteren </w:t>
      </w:r>
      <w:r w:rsidDel="00000000" w:rsidR="00000000" w:rsidRPr="00000000">
        <w:rPr>
          <w:rtl w:val="0"/>
        </w:rPr>
        <w:t xml:space="preserve">Öffentlichkeit gezeigt werden –</w:t>
      </w:r>
      <w:r w:rsidDel="00000000" w:rsidR="00000000" w:rsidRPr="00000000">
        <w:rPr>
          <w:rtl w:val="0"/>
        </w:rPr>
        <w:t xml:space="preserve"> oder ob sie in den Tiefen des Internets verschwinden.</w:t>
      </w:r>
      <w:r w:rsidDel="00000000" w:rsidR="00000000" w:rsidRPr="00000000">
        <w:rPr>
          <w:rtl w:val="0"/>
        </w:rPr>
        <w:t xml:space="preserve"> </w:t>
      </w:r>
      <w:r w:rsidDel="00000000" w:rsidR="00000000" w:rsidRPr="00000000">
        <w:rPr>
          <w:rtl w:val="0"/>
        </w:rPr>
        <w:t xml:space="preserve">Diese fehlende Transparenz (</w:t>
      </w:r>
      <w:r w:rsidDel="00000000" w:rsidR="00000000" w:rsidRPr="00000000">
        <w:rPr>
          <w:rtl w:val="0"/>
        </w:rPr>
        <w:t xml:space="preserve">»Algorithmic Opacity«) begünstigt die Entstehung sogenannter »folk theories« über die Wirkungsweise des undurchschaubaren Algorithmus unter den Plattform-User:innen, die sich oft auch verstetigen und gewisse gängige Praktiken und informelle </w:t>
      </w:r>
      <w:r w:rsidDel="00000000" w:rsidR="00000000" w:rsidRPr="00000000">
        <w:rPr>
          <w:rtl w:val="0"/>
        </w:rPr>
        <w:t xml:space="preserve">Organisierungsprozesse</w:t>
      </w:r>
      <w:r w:rsidDel="00000000" w:rsidR="00000000" w:rsidRPr="00000000">
        <w:rPr>
          <w:rtl w:val="0"/>
        </w:rPr>
        <w:t xml:space="preserve"> unter Medienschaffenden prägen können.</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Die starke Individualisierung der ausgewählten Inhalte und die Nutzung moderner Machine-Learning-Technologien, bei denen nicht einmal mehr die Diensteanbieter und die Programmierer:innen der Algorithmen genau sagen können, warum wann welcher Beitrag angezeigt wird, haben einige schwerwiegende Folgen: </w:t>
      </w:r>
      <w:r w:rsidDel="00000000" w:rsidR="00000000" w:rsidRPr="00000000">
        <w:rPr>
          <w:rtl w:val="0"/>
        </w:rPr>
        <w:t xml:space="preserve">Zunächst beeinträchtigt dies die Funktionsweise sozialer Medien als digitaler öffentlicher Raum und Ort des Diskurses. Wie soll dort Meinungsbildung zu politischen und anderen Fragestellungen erfolgen, wenn fast zwangsläufig jede:r andere Inhalte angezeigt bekommt? Ein gemeinsamer Diskurs aller </w:t>
      </w:r>
      <w:r w:rsidDel="00000000" w:rsidR="00000000" w:rsidRPr="00000000">
        <w:rPr>
          <w:rtl w:val="0"/>
        </w:rPr>
        <w:t xml:space="preserve">Nutzer:innengruppen</w:t>
      </w:r>
      <w:r w:rsidDel="00000000" w:rsidR="00000000" w:rsidRPr="00000000">
        <w:rPr>
          <w:rtl w:val="0"/>
        </w:rPr>
        <w:t xml:space="preserve"> wird dadurch wesentlich erschwert.</w:t>
      </w:r>
      <w:r w:rsidDel="00000000" w:rsidR="00000000" w:rsidRPr="00000000">
        <w:rPr>
          <w:rtl w:val="0"/>
        </w:rPr>
        <w:t xml:space="preserve"> </w:t>
      </w:r>
      <w:r w:rsidDel="00000000" w:rsidR="00000000" w:rsidRPr="00000000">
        <w:rPr>
          <w:rtl w:val="0"/>
        </w:rPr>
        <w:t xml:space="preserve">Weiters</w:t>
      </w:r>
      <w:r w:rsidDel="00000000" w:rsidR="00000000" w:rsidRPr="00000000">
        <w:rPr>
          <w:rtl w:val="0"/>
        </w:rPr>
        <w:t xml:space="preserve"> ist die Undurchsichtigkeit der Funktionsweise solcher Systeme auch ein gewichtiges Problem für die kritische Forschung zu derartigen Plattformen – zumal ihr Einfluss auf Politik und Gesellschaft kontinuierlich zunimmt.</w:t>
      </w:r>
      <w:r w:rsidDel="00000000" w:rsidR="00000000" w:rsidRPr="00000000">
        <w:rPr>
          <w:vertAlign w:val="superscript"/>
        </w:rPr>
        <w:footnoteReference w:customMarkFollows="0" w:id="8"/>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Externe Prüfungen (sogenannte </w:t>
      </w:r>
      <w:r w:rsidDel="00000000" w:rsidR="00000000" w:rsidRPr="00000000">
        <w:rPr>
          <w:rtl w:val="0"/>
        </w:rPr>
        <w:t xml:space="preserve">»Audits«)</w:t>
      </w:r>
      <w:r w:rsidDel="00000000" w:rsidR="00000000" w:rsidRPr="00000000">
        <w:rPr>
          <w:rtl w:val="0"/>
        </w:rPr>
        <w:t xml:space="preserve"> solcher Algorithmen durch Forscher:innen</w:t>
      </w:r>
      <w:r w:rsidDel="00000000" w:rsidR="00000000" w:rsidRPr="00000000">
        <w:rPr>
          <w:rtl w:val="0"/>
        </w:rPr>
        <w:t xml:space="preserve"> haben auch gezeigt, dass diese häufig zu einer Verzerrung der Realität führen oder auch diskriminierend agieren;</w:t>
      </w:r>
      <w:r w:rsidDel="00000000" w:rsidR="00000000" w:rsidRPr="00000000">
        <w:rPr>
          <w:vertAlign w:val="superscript"/>
        </w:rPr>
        <w:footnoteReference w:customMarkFollows="0" w:id="9"/>
      </w:r>
      <w:r w:rsidDel="00000000" w:rsidR="00000000" w:rsidRPr="00000000">
        <w:rPr>
          <w:rtl w:val="0"/>
        </w:rPr>
        <w:t xml:space="preserve"> </w:t>
      </w:r>
      <w:r w:rsidDel="00000000" w:rsidR="00000000" w:rsidRPr="00000000">
        <w:rPr>
          <w:rtl w:val="0"/>
        </w:rPr>
        <w:t xml:space="preserve">so wurde</w:t>
      </w:r>
      <w:r w:rsidDel="00000000" w:rsidR="00000000" w:rsidRPr="00000000">
        <w:rPr>
          <w:rtl w:val="0"/>
        </w:rPr>
        <w:t xml:space="preserve"> Frauen etwa auf Facebook Werbung für Berufe im MINT-Bereich </w:t>
      </w:r>
      <w:r w:rsidDel="00000000" w:rsidR="00000000" w:rsidRPr="00000000">
        <w:rPr>
          <w:rtl w:val="0"/>
        </w:rPr>
        <w:t xml:space="preserve">seltener </w:t>
      </w:r>
      <w:r w:rsidDel="00000000" w:rsidR="00000000" w:rsidRPr="00000000">
        <w:rPr>
          <w:rtl w:val="0"/>
        </w:rPr>
        <w:t xml:space="preserve">angezeigt </w:t>
      </w:r>
      <w:r w:rsidDel="00000000" w:rsidR="00000000" w:rsidRPr="00000000">
        <w:rPr>
          <w:rtl w:val="0"/>
        </w:rPr>
        <w:t xml:space="preserve">–</w:t>
      </w:r>
      <w:r w:rsidDel="00000000" w:rsidR="00000000" w:rsidRPr="00000000">
        <w:rPr>
          <w:rtl w:val="0"/>
        </w:rPr>
        <w:t xml:space="preserve"> trotz des eigentlich intendierten gender-neutralen Targetings der Kampagne.</w:t>
      </w:r>
      <w:r w:rsidDel="00000000" w:rsidR="00000000" w:rsidRPr="00000000">
        <w:rPr>
          <w:vertAlign w:val="superscript"/>
        </w:rPr>
        <w:footnoteReference w:customMarkFollows="0" w:id="10"/>
      </w: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b w:val="1"/>
          <w:rtl w:val="0"/>
        </w:rPr>
        <w:t xml:space="preserve">Radikalisierung und soziale Medien</w:t>
      </w: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Insbesondere spielt diese algorithmische Steuerung der Social-Media-Feeds eine bedeutende Rolle in Radikalisierungsprozessen – wobei d</w:t>
      </w:r>
      <w:r w:rsidDel="00000000" w:rsidR="00000000" w:rsidRPr="00000000">
        <w:rPr>
          <w:rtl w:val="0"/>
        </w:rPr>
        <w:t xml:space="preserve">iese Rolle etwas differenzierter aussieht, als die g</w:t>
      </w:r>
      <w:r w:rsidDel="00000000" w:rsidR="00000000" w:rsidRPr="00000000">
        <w:rPr>
          <w:rtl w:val="0"/>
        </w:rPr>
        <w:t xml:space="preserve">ängige Darstellung in Presse, Film und Fernsehen vermittelt.</w:t>
      </w:r>
      <w:r w:rsidDel="00000000" w:rsidR="00000000" w:rsidRPr="00000000">
        <w:rPr>
          <w:rtl w:val="0"/>
        </w:rPr>
        <w:t xml:space="preserve"> Das h</w:t>
      </w:r>
      <w:r w:rsidDel="00000000" w:rsidR="00000000" w:rsidRPr="00000000">
        <w:rPr>
          <w:rtl w:val="0"/>
        </w:rPr>
        <w:t xml:space="preserve">äufig tradierte </w:t>
      </w:r>
      <w:r w:rsidDel="00000000" w:rsidR="00000000" w:rsidRPr="00000000">
        <w:rPr>
          <w:rtl w:val="0"/>
        </w:rPr>
        <w:t xml:space="preserve">Bild gestaltet sich oft wie folgt: Ein bislang unbescholtener Mensch st</w:t>
      </w:r>
      <w:r w:rsidDel="00000000" w:rsidR="00000000" w:rsidRPr="00000000">
        <w:rPr>
          <w:rtl w:val="0"/>
        </w:rPr>
        <w:t xml:space="preserve">ößt auf sozialen Medien auf </w:t>
      </w:r>
      <w:r w:rsidDel="00000000" w:rsidR="00000000" w:rsidRPr="00000000">
        <w:rPr>
          <w:rtl w:val="0"/>
        </w:rPr>
        <w:t xml:space="preserve">kontroverse Inhalte (zuf</w:t>
      </w:r>
      <w:r w:rsidDel="00000000" w:rsidR="00000000" w:rsidRPr="00000000">
        <w:rPr>
          <w:rtl w:val="0"/>
        </w:rPr>
        <w:t xml:space="preserve">ällig oder auch weniger zufällig </w:t>
      </w:r>
      <w:r w:rsidDel="00000000" w:rsidR="00000000" w:rsidRPr="00000000">
        <w:rPr>
          <w:rtl w:val="0"/>
        </w:rPr>
        <w:t xml:space="preserve">– siehe oben</w:t>
      </w:r>
      <w:r w:rsidDel="00000000" w:rsidR="00000000" w:rsidRPr="00000000">
        <w:rPr>
          <w:rtl w:val="0"/>
        </w:rPr>
        <w:t xml:space="preserve">)</w:t>
      </w:r>
      <w:r w:rsidDel="00000000" w:rsidR="00000000" w:rsidRPr="00000000">
        <w:rPr>
          <w:rtl w:val="0"/>
        </w:rPr>
        <w:t xml:space="preserve">.</w:t>
      </w:r>
      <w:r w:rsidDel="00000000" w:rsidR="00000000" w:rsidRPr="00000000">
        <w:rPr>
          <w:rtl w:val="0"/>
        </w:rPr>
        <w:t xml:space="preserve"> Er konsumiert diesen Inhalt (sei es aus Neugier oder aus Abscheu), woraufhin </w:t>
      </w:r>
      <w:r w:rsidDel="00000000" w:rsidR="00000000" w:rsidRPr="00000000">
        <w:rPr>
          <w:rtl w:val="0"/>
        </w:rPr>
        <w:t xml:space="preserve">»</w:t>
      </w:r>
      <w:r w:rsidDel="00000000" w:rsidR="00000000" w:rsidRPr="00000000">
        <w:rPr>
          <w:rtl w:val="0"/>
        </w:rPr>
        <w:t xml:space="preserve">der Algorithmus</w:t>
      </w:r>
      <w:r w:rsidDel="00000000" w:rsidR="00000000" w:rsidRPr="00000000">
        <w:rPr>
          <w:rtl w:val="0"/>
        </w:rPr>
        <w:t xml:space="preserve">«</w:t>
      </w:r>
      <w:r w:rsidDel="00000000" w:rsidR="00000000" w:rsidRPr="00000000">
        <w:rPr>
          <w:rtl w:val="0"/>
        </w:rPr>
        <w:t xml:space="preserve"> (zwecks Optimierung des User Engagement auf der Plattform) bald noch einmal </w:t>
      </w:r>
      <w:r w:rsidDel="00000000" w:rsidR="00000000" w:rsidRPr="00000000">
        <w:rPr>
          <w:rtl w:val="0"/>
        </w:rPr>
        <w:t xml:space="preserve">ähnliche Inhalte</w:t>
      </w:r>
      <w:r w:rsidDel="00000000" w:rsidR="00000000" w:rsidRPr="00000000">
        <w:rPr>
          <w:rtl w:val="0"/>
        </w:rPr>
        <w:t xml:space="preserve"> vorschlägt </w:t>
      </w:r>
      <w:r w:rsidDel="00000000" w:rsidR="00000000" w:rsidRPr="00000000">
        <w:rPr>
          <w:rtl w:val="0"/>
        </w:rPr>
        <w:t xml:space="preserve">–</w:t>
      </w:r>
      <w:r w:rsidDel="00000000" w:rsidR="00000000" w:rsidRPr="00000000">
        <w:rPr>
          <w:rtl w:val="0"/>
        </w:rPr>
        <w:t xml:space="preserve"> diesmal etwas extremer, um das Interesse hoch zu halten. Dieser Prozess wiederholt sich noch etliche Male, die Empfehlungen werden immer und immer übertriebener. Durch den Mere-Exposure-Effekt</w:t>
      </w:r>
      <w:r w:rsidDel="00000000" w:rsidR="00000000" w:rsidRPr="00000000">
        <w:rPr>
          <w:vertAlign w:val="superscript"/>
        </w:rPr>
        <w:footnoteReference w:customMarkFollows="0" w:id="11"/>
      </w:r>
      <w:r w:rsidDel="00000000" w:rsidR="00000000" w:rsidRPr="00000000">
        <w:rPr>
          <w:rtl w:val="0"/>
        </w:rPr>
        <w:t xml:space="preserve"> (kurz zusammengefasst: was uns h</w:t>
      </w:r>
      <w:r w:rsidDel="00000000" w:rsidR="00000000" w:rsidRPr="00000000">
        <w:rPr>
          <w:rtl w:val="0"/>
        </w:rPr>
        <w:t xml:space="preserve">äufiger begegnet, halten wir für akzeptabler oder beurteilen es positiver) verfällt </w:t>
      </w:r>
      <w:r w:rsidDel="00000000" w:rsidR="00000000" w:rsidRPr="00000000">
        <w:rPr>
          <w:rtl w:val="0"/>
        </w:rPr>
        <w:t xml:space="preserve">unser:e zun</w:t>
      </w:r>
      <w:r w:rsidDel="00000000" w:rsidR="00000000" w:rsidRPr="00000000">
        <w:rPr>
          <w:rtl w:val="0"/>
        </w:rPr>
        <w:t xml:space="preserve">ächst unschuldige:r</w:t>
      </w:r>
      <w:r w:rsidDel="00000000" w:rsidR="00000000" w:rsidRPr="00000000">
        <w:rPr>
          <w:rtl w:val="0"/>
        </w:rPr>
        <w:t xml:space="preserve"> Protagonist:in sodann einer extremistischen Weltanschauung, ist in ein sogenanntes </w:t>
      </w:r>
      <w:r w:rsidDel="00000000" w:rsidR="00000000" w:rsidRPr="00000000">
        <w:rPr>
          <w:rtl w:val="0"/>
        </w:rPr>
        <w:t xml:space="preserve">»</w:t>
      </w:r>
      <w:r w:rsidDel="00000000" w:rsidR="00000000" w:rsidRPr="00000000">
        <w:rPr>
          <w:rtl w:val="0"/>
        </w:rPr>
        <w:t xml:space="preserve">Rabbit Hole</w:t>
      </w:r>
      <w:r w:rsidDel="00000000" w:rsidR="00000000" w:rsidRPr="00000000">
        <w:rPr>
          <w:rtl w:val="0"/>
        </w:rPr>
        <w:t xml:space="preserve">«</w:t>
      </w:r>
      <w:r w:rsidDel="00000000" w:rsidR="00000000" w:rsidRPr="00000000">
        <w:rPr>
          <w:rtl w:val="0"/>
        </w:rPr>
        <w:t xml:space="preserve"> gefallen und </w:t>
      </w:r>
      <w:r w:rsidDel="00000000" w:rsidR="00000000" w:rsidRPr="00000000">
        <w:rPr>
          <w:rtl w:val="0"/>
        </w:rPr>
        <w:t xml:space="preserve">nun vollständig radikalisiert. Ergänzend</w:t>
      </w:r>
      <w:r w:rsidDel="00000000" w:rsidR="00000000" w:rsidRPr="00000000">
        <w:rPr>
          <w:rtl w:val="0"/>
        </w:rPr>
        <w:t xml:space="preserve"> zu diesem häufig tradierten Narrativ gibt es zwei eng verwandte, aber unterschiedliche Phänomene, die oft im Zusammenhang mit Polarisierung auf sozialen Medien diskutiert werden: Echokammern und Filterblasen.</w:t>
      </w:r>
      <w:r w:rsidDel="00000000" w:rsidR="00000000" w:rsidRPr="00000000">
        <w:rPr>
          <w:vertAlign w:val="superscript"/>
        </w:rPr>
        <w:footnoteReference w:customMarkFollows="0" w:id="12"/>
      </w:r>
      <w:r w:rsidDel="00000000" w:rsidR="00000000" w:rsidRPr="00000000">
        <w:rPr>
          <w:rtl w:val="0"/>
        </w:rPr>
        <w:t xml:space="preserve"> Bei allen drei Themen sind die gängigen Narrative nicht vollständig falsch, der Stand der Forschung stellt sich allerdings etwas differenzierter und komplexer dar.</w:t>
      </w:r>
    </w:p>
    <w:p w:rsidR="00000000" w:rsidDel="00000000" w:rsidP="00000000" w:rsidRDefault="00000000" w:rsidRPr="00000000" w14:paraId="00000011">
      <w:pPr>
        <w:jc w:val="both"/>
        <w:rPr/>
      </w:pPr>
      <w:r w:rsidDel="00000000" w:rsidR="00000000" w:rsidRPr="00000000">
        <w:rPr>
          <w:rtl w:val="0"/>
        </w:rPr>
        <w:t xml:space="preserve">Zunächst zu den Echokammern. Diese beschreiben soziale Umfelder, in denen Menschen überwiegend Gleichgesinnte treffen und sich untereinander in ihren Überzeugungen bestärken, weil Kritik oder konträre Argumente schlicht seltener vorkommen. Dieses Phänomen ist allerdings nicht auf digitale Räume beschränkt: Auch offline, etwa in persönlichen Freund:innen- oder Kolleg:innenkreisen, verbringen wir oft hauptsächlich Zeit mit Menschen, die ähnliche Ansichten teilen. Eine Studie von Gentzkow und Shapiro</w:t>
      </w:r>
      <w:r w:rsidDel="00000000" w:rsidR="00000000" w:rsidRPr="00000000">
        <w:rPr>
          <w:vertAlign w:val="superscript"/>
        </w:rPr>
        <w:footnoteReference w:customMarkFollows="0" w:id="13"/>
      </w:r>
      <w:r w:rsidDel="00000000" w:rsidR="00000000" w:rsidRPr="00000000">
        <w:rPr>
          <w:rtl w:val="0"/>
        </w:rPr>
        <w:t xml:space="preserve"> konstatierte sogar, dass die ideologische Trennung in persönlichen Interaktionen tendenziell stärker ausgeprägt ist als in digitalen Räumen.</w:t>
      </w:r>
    </w:p>
    <w:p w:rsidR="00000000" w:rsidDel="00000000" w:rsidP="00000000" w:rsidRDefault="00000000" w:rsidRPr="00000000" w14:paraId="00000012">
      <w:pPr>
        <w:jc w:val="both"/>
        <w:rPr/>
      </w:pPr>
      <w:r w:rsidDel="00000000" w:rsidR="00000000" w:rsidRPr="00000000">
        <w:rPr>
          <w:rtl w:val="0"/>
        </w:rPr>
        <w:t xml:space="preserve">Filterblasen hingegen sind ein Phänomen, das spezifisch durch algorithmische Steuerung auf sozialen Medien entsteht. Algorithmen bestimmen, welche Inhalte uns angezeigt werden, basierend auf unseren bisherigen Interaktionen, Präferenzen oder Klickverhalten. Die Befürchtung ist, dass wir dadurch verstärkt nur Inhalte sehen, die unseren bestehenden Überzeugungen entsprechen, und durch die algorithmische Kuratierung systematisch mit widersprüchlichen Meinungen kaum in Berührung kommen. Anders als bei Echokammern geht es hier weniger um die soziale Zusammensetzung unserer Kontakte, sondern um die digitale Auswahl und Gewichtung der Informationen durch die Plattformen. </w:t>
      </w:r>
      <w:r w:rsidDel="00000000" w:rsidR="00000000" w:rsidRPr="00000000">
        <w:rPr>
          <w:rtl w:val="0"/>
        </w:rPr>
        <w:t xml:space="preserve">Auch hier gibt es allerdings konträre Resultate. Diese deuten darauf hin, dass es im Gegensatz zur gängigen Erzählung eigentlich das häufigere Zusammentreffen mit unserer Überzeugung stark widersprechenden Meinungen (mit denen wir, wie eben beschrieben, »offline« wohl deutlich seltener in Berührung kommen würden) ist, was – in einer Art Abwehrmechanismus – zur Festigung und Bestärkung der eigenen Weltsicht führen dürfte.</w:t>
      </w:r>
      <w:r w:rsidDel="00000000" w:rsidR="00000000" w:rsidRPr="00000000">
        <w:rPr>
          <w:vertAlign w:val="superscript"/>
        </w:rPr>
        <w:footnoteReference w:customMarkFollows="0" w:id="14"/>
      </w: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Radikalisierung wiederum ist in der Realit</w:t>
      </w:r>
      <w:r w:rsidDel="00000000" w:rsidR="00000000" w:rsidRPr="00000000">
        <w:rPr>
          <w:rtl w:val="0"/>
        </w:rPr>
        <w:t xml:space="preserve">ät</w:t>
      </w:r>
      <w:r w:rsidDel="00000000" w:rsidR="00000000" w:rsidRPr="00000000">
        <w:rPr>
          <w:rtl w:val="0"/>
        </w:rPr>
        <w:t xml:space="preserve"> vielmehr ein vielschichtiger Prozess, der nur durch das Zusammenspiel verschiedener Dynamiken verstanden werden kann.</w:t>
      </w:r>
      <w:r w:rsidDel="00000000" w:rsidR="00000000" w:rsidRPr="00000000">
        <w:rPr>
          <w:vertAlign w:val="superscript"/>
        </w:rPr>
        <w:footnoteReference w:customMarkFollows="0" w:id="15"/>
      </w:r>
      <w:r w:rsidDel="00000000" w:rsidR="00000000" w:rsidRPr="00000000">
        <w:rPr>
          <w:rtl w:val="0"/>
        </w:rPr>
        <w:t xml:space="preserve"> Wie aktuelle Studien zeigen, greifen Online- und Offline-Faktoren hierbei oft ineinander und verstärken sich gegenseitig. So betonen etwa Dauber und Ilter, dass sowohl digitale Räume – etwa soziale Medien oder </w:t>
      </w:r>
      <w:r w:rsidDel="00000000" w:rsidR="00000000" w:rsidRPr="00000000">
        <w:rPr>
          <w:rtl w:val="0"/>
        </w:rPr>
        <w:t xml:space="preserve">Chatgruppen</w:t>
      </w:r>
      <w:r w:rsidDel="00000000" w:rsidR="00000000" w:rsidRPr="00000000">
        <w:rPr>
          <w:rtl w:val="0"/>
        </w:rPr>
        <w:t xml:space="preserve"> – als auch persönliche Interaktionen offline entscheidend dazu beitragen können, extremistische Einstellungen zu formen. Besonders gefährdet scheinen laut </w:t>
      </w:r>
      <w:r w:rsidDel="00000000" w:rsidR="00000000" w:rsidRPr="00000000">
        <w:rPr>
          <w:rtl w:val="0"/>
        </w:rPr>
        <w:t xml:space="preserve">Hollewell</w:t>
      </w:r>
      <w:r w:rsidDel="00000000" w:rsidR="00000000" w:rsidRPr="00000000">
        <w:rPr>
          <w:rtl w:val="0"/>
        </w:rPr>
        <w:t xml:space="preserve"> und Longpré (2022) junge, gebildete Männer zu sein. Wer eine geringe emotionale Intelligenz besitzt, viel Zeit in sozialen Medien verbringt und sich mit Tools wie VPNs oder dem Darknet auskennt, zeigt demnach eine erhöhte Neigung, politische Gewalt oder gar Terrorismus zu befürworten. Die algorithmischen Prozesse rund um </w:t>
      </w:r>
      <w:r w:rsidDel="00000000" w:rsidR="00000000" w:rsidRPr="00000000">
        <w:rPr>
          <w:rtl w:val="0"/>
        </w:rPr>
        <w:t xml:space="preserve">»Rabbit Holes« und dergleichen </w:t>
      </w:r>
      <w:r w:rsidDel="00000000" w:rsidR="00000000" w:rsidRPr="00000000">
        <w:rPr>
          <w:rtl w:val="0"/>
        </w:rPr>
        <w:t xml:space="preserve">liefern demnach </w:t>
      </w:r>
      <w:r w:rsidDel="00000000" w:rsidR="00000000" w:rsidRPr="00000000">
        <w:rPr>
          <w:rtl w:val="0"/>
        </w:rPr>
        <w:t xml:space="preserve">wohl einen vergleichsweise kleinen Beitrag</w:t>
      </w:r>
      <w:r w:rsidDel="00000000" w:rsidR="00000000" w:rsidRPr="00000000">
        <w:rPr>
          <w:rtl w:val="0"/>
        </w:rPr>
        <w:t xml:space="preserve"> zur Radikalisierung. Die Pr</w:t>
      </w:r>
      <w:r w:rsidDel="00000000" w:rsidR="00000000" w:rsidRPr="00000000">
        <w:rPr>
          <w:rtl w:val="0"/>
        </w:rPr>
        <w:t xml:space="preserve">ävalenz</w:t>
      </w:r>
      <w:r w:rsidDel="00000000" w:rsidR="00000000" w:rsidRPr="00000000">
        <w:rPr>
          <w:rtl w:val="0"/>
        </w:rPr>
        <w:t xml:space="preserve"> extremistischer Inhalte ist dar</w:t>
      </w:r>
      <w:r w:rsidDel="00000000" w:rsidR="00000000" w:rsidRPr="00000000">
        <w:rPr>
          <w:rtl w:val="0"/>
        </w:rPr>
        <w:t xml:space="preserve">über hinaus</w:t>
      </w:r>
      <w:r w:rsidDel="00000000" w:rsidR="00000000" w:rsidRPr="00000000">
        <w:rPr>
          <w:rtl w:val="0"/>
        </w:rPr>
        <w:t xml:space="preserve"> je nach Plattform sehr unterschiedlich; die Bestrebungen der Betreiber von bekannten Social-Media-Diensten zur Moderation von Content haben mitunter dazu geführt, dass auf manchen kaum noch radikale Inhalte zu finden sind. Extremistische Organisationen nutzen diese Dienste somit eher, um potenzielle Interessent:innen durch sogenannten </w:t>
      </w:r>
      <w:r w:rsidDel="00000000" w:rsidR="00000000" w:rsidRPr="00000000">
        <w:rPr>
          <w:rtl w:val="0"/>
        </w:rPr>
        <w:t xml:space="preserve">»</w:t>
      </w:r>
      <w:r w:rsidDel="00000000" w:rsidR="00000000" w:rsidRPr="00000000">
        <w:rPr>
          <w:rtl w:val="0"/>
        </w:rPr>
        <w:t xml:space="preserve">B</w:t>
      </w:r>
      <w:r w:rsidDel="00000000" w:rsidR="00000000" w:rsidRPr="00000000">
        <w:rPr>
          <w:rtl w:val="0"/>
        </w:rPr>
        <w:t xml:space="preserve">orderline</w:t>
      </w:r>
      <w:r w:rsidDel="00000000" w:rsidR="00000000" w:rsidRPr="00000000">
        <w:rPr>
          <w:rtl w:val="0"/>
        </w:rPr>
        <w:t xml:space="preserve">«</w:t>
      </w:r>
      <w:r w:rsidDel="00000000" w:rsidR="00000000" w:rsidRPr="00000000">
        <w:rPr>
          <w:rtl w:val="0"/>
        </w:rPr>
        <w:t xml:space="preserve">-</w:t>
      </w:r>
      <w:r w:rsidDel="00000000" w:rsidR="00000000" w:rsidRPr="00000000">
        <w:rPr>
          <w:rtl w:val="0"/>
        </w:rPr>
        <w:t xml:space="preserve">Content, der eben gerade noch den Nutzungsbedingungen entspricht, auf andere Plattformen (wie geschlossene Telegram-Gruppen oder explizit extremistisch durchsetzte Netzwerke wie Gab, Parler oder Truth Social) und eigene Kan</w:t>
      </w:r>
      <w:r w:rsidDel="00000000" w:rsidR="00000000" w:rsidRPr="00000000">
        <w:rPr>
          <w:rtl w:val="0"/>
        </w:rPr>
        <w:t xml:space="preserve">äle</w:t>
      </w:r>
      <w:r w:rsidDel="00000000" w:rsidR="00000000" w:rsidRPr="00000000">
        <w:rPr>
          <w:rtl w:val="0"/>
        </w:rPr>
        <w:t xml:space="preserve"> zu locken.</w:t>
      </w:r>
    </w:p>
    <w:p w:rsidR="00000000" w:rsidDel="00000000" w:rsidP="00000000" w:rsidRDefault="00000000" w:rsidRPr="00000000" w14:paraId="00000014">
      <w:pPr>
        <w:jc w:val="both"/>
        <w:rPr>
          <w:shd w:fill="cccccc" w:val="clear"/>
        </w:rPr>
      </w:pPr>
      <w:r w:rsidDel="00000000" w:rsidR="00000000" w:rsidRPr="00000000">
        <w:rPr>
          <w:rtl w:val="0"/>
        </w:rPr>
      </w:r>
    </w:p>
    <w:p w:rsidR="00000000" w:rsidDel="00000000" w:rsidP="00000000" w:rsidRDefault="00000000" w:rsidRPr="00000000" w14:paraId="00000015">
      <w:pPr>
        <w:jc w:val="both"/>
        <w:rPr>
          <w:b w:val="1"/>
        </w:rPr>
      </w:pPr>
      <w:r w:rsidDel="00000000" w:rsidR="00000000" w:rsidRPr="00000000">
        <w:rPr>
          <w:b w:val="1"/>
          <w:rtl w:val="0"/>
        </w:rPr>
        <w:t xml:space="preserve">Conclusio und Ausblick</w:t>
      </w: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br w:type="textWrapping"/>
        <w:t xml:space="preserve">Die Forschung macht also deutlich: Wer verstehen will, wie Radikalisierung entsteht, muss das Zusammenspiel von Technologie, Psychologie und sozialer Dynamik in den Blick nehmen. Nur so lassen sich wirkungsvolle Präventionsstrategien entwickeln – und genau dort ansetzen, wo Extremismus seinen Ursprung nimmt.</w:t>
      </w:r>
    </w:p>
    <w:p w:rsidR="00000000" w:rsidDel="00000000" w:rsidP="00000000" w:rsidRDefault="00000000" w:rsidRPr="00000000" w14:paraId="00000017">
      <w:pPr>
        <w:jc w:val="both"/>
        <w:rPr/>
      </w:pPr>
      <w:r w:rsidDel="00000000" w:rsidR="00000000" w:rsidRPr="00000000">
        <w:rPr>
          <w:rtl w:val="0"/>
        </w:rPr>
        <w:t xml:space="preserve">Ein zentrales Problem ist hierbei aber die bereits erw</w:t>
      </w:r>
      <w:r w:rsidDel="00000000" w:rsidR="00000000" w:rsidRPr="00000000">
        <w:rPr>
          <w:rtl w:val="0"/>
        </w:rPr>
        <w:t xml:space="preserve">ähnte</w:t>
      </w:r>
      <w:r w:rsidDel="00000000" w:rsidR="00000000" w:rsidRPr="00000000">
        <w:rPr>
          <w:rtl w:val="0"/>
        </w:rPr>
        <w:t xml:space="preserve"> A</w:t>
      </w:r>
      <w:r w:rsidDel="00000000" w:rsidR="00000000" w:rsidRPr="00000000">
        <w:rPr>
          <w:rtl w:val="0"/>
        </w:rPr>
        <w:t xml:space="preserve">lgorithmic Opacity</w:t>
      </w:r>
      <w:r w:rsidDel="00000000" w:rsidR="00000000" w:rsidRPr="00000000">
        <w:rPr>
          <w:rtl w:val="0"/>
        </w:rPr>
        <w:t xml:space="preserve">, also die Undurchsichtigkeit der Algorithmen großer Plattformen. Welche Inhalte wem ausgespielt werden, bleibt meist ein gut gehütetes Geschäftsgeheimnis. Zwar hat die Europ</w:t>
      </w:r>
      <w:r w:rsidDel="00000000" w:rsidR="00000000" w:rsidRPr="00000000">
        <w:rPr>
          <w:rtl w:val="0"/>
        </w:rPr>
        <w:t xml:space="preserve">äische </w:t>
      </w:r>
      <w:r w:rsidDel="00000000" w:rsidR="00000000" w:rsidRPr="00000000">
        <w:rPr>
          <w:rtl w:val="0"/>
        </w:rPr>
        <w:t xml:space="preserve">Union mit dem Digital Services Act (DSA) erste Schritte unternommen, hier mehr Transparenz zu schaffen und zumindest eine teilweise </w:t>
      </w:r>
      <w:r w:rsidDel="00000000" w:rsidR="00000000" w:rsidRPr="00000000">
        <w:rPr>
          <w:rtl w:val="0"/>
        </w:rPr>
        <w:t xml:space="preserve">Öffnung der Social-Media-Konzerne gegenüber kritischer Forschung vorzuschreiben</w:t>
      </w:r>
      <w:r w:rsidDel="00000000" w:rsidR="00000000" w:rsidRPr="00000000">
        <w:rPr>
          <w:rtl w:val="0"/>
        </w:rPr>
        <w:t xml:space="preserve">. Doch viele Fragen zur Wirksamkeit des DSA bleiben offen: Die Forschung ist auf die Daten der Plattformbetreiber angewiesen, bekommt aber bislang oft keinen Zugang, was nur den Rechtsweg offen l</w:t>
      </w:r>
      <w:r w:rsidDel="00000000" w:rsidR="00000000" w:rsidRPr="00000000">
        <w:rPr>
          <w:rtl w:val="0"/>
        </w:rPr>
        <w:t xml:space="preserve">ässt</w:t>
      </w:r>
      <w:r w:rsidDel="00000000" w:rsidR="00000000" w:rsidRPr="00000000">
        <w:rPr>
          <w:rtl w:val="0"/>
        </w:rPr>
        <w:t xml:space="preserve"> – ein Problem, das Forscher:innen zunehmend zum Lobbyieren zwingt: für </w:t>
      </w:r>
      <w:r w:rsidDel="00000000" w:rsidR="00000000" w:rsidRPr="00000000">
        <w:rPr>
          <w:rtl w:val="0"/>
        </w:rPr>
        <w:t xml:space="preserve">forschungsfreundlichere</w:t>
      </w:r>
      <w:r w:rsidDel="00000000" w:rsidR="00000000" w:rsidRPr="00000000">
        <w:rPr>
          <w:rtl w:val="0"/>
        </w:rPr>
        <w:t xml:space="preserve"> Gesetzgebung und </w:t>
      </w:r>
      <w:r w:rsidDel="00000000" w:rsidR="00000000" w:rsidRPr="00000000">
        <w:rPr>
          <w:rtl w:val="0"/>
        </w:rPr>
        <w:t xml:space="preserve">raschere </w:t>
      </w:r>
      <w:r w:rsidDel="00000000" w:rsidR="00000000" w:rsidRPr="00000000">
        <w:rPr>
          <w:rtl w:val="0"/>
        </w:rPr>
        <w:t xml:space="preserve">Verfahren, die mehr Einblick in die Funktionsweisen der Plattformen ermöglichen.</w:t>
      </w:r>
    </w:p>
    <w:p w:rsidR="00000000" w:rsidDel="00000000" w:rsidP="00000000" w:rsidRDefault="00000000" w:rsidRPr="00000000" w14:paraId="00000018">
      <w:pPr>
        <w:jc w:val="both"/>
        <w:rPr/>
      </w:pPr>
      <w:r w:rsidDel="00000000" w:rsidR="00000000" w:rsidRPr="00000000">
        <w:rPr>
          <w:rtl w:val="0"/>
        </w:rPr>
        <w:t xml:space="preserve">Auch bei der Moderation extremistischer Inhalte stoßen Wissenschaft und Plattformen an gewisse Grenzen. Wird bedenklicher Content konsequent gelöscht oder gesperrt, weichen radikale Gruppen oft auf weniger regulierte oder abgeschottete Räume aus – etwa verschlüsselte Gruppen-Konversationen auf Messenger-Diensten wie Telegram oder Nischen-Plattformen im Darknet. Dieses sogenannte Verdrängungseffekt-Problem wurde bereits in verschiedenen Studien beschrieben (etwa in einem Report des Radicalisation Awareness Network der Europ</w:t>
      </w:r>
      <w:r w:rsidDel="00000000" w:rsidR="00000000" w:rsidRPr="00000000">
        <w:rPr>
          <w:rtl w:val="0"/>
        </w:rPr>
        <w:t xml:space="preserve">äischen Kommission</w:t>
      </w:r>
      <w:r w:rsidDel="00000000" w:rsidR="00000000" w:rsidRPr="00000000">
        <w:rPr>
          <w:vertAlign w:val="superscript"/>
        </w:rPr>
        <w:footnoteReference w:customMarkFollows="0" w:id="16"/>
      </w:r>
      <w:r w:rsidDel="00000000" w:rsidR="00000000" w:rsidRPr="00000000">
        <w:rPr>
          <w:rtl w:val="0"/>
        </w:rPr>
        <w:t xml:space="preserve">)</w:t>
      </w:r>
      <w:r w:rsidDel="00000000" w:rsidR="00000000" w:rsidRPr="00000000">
        <w:rPr>
          <w:rtl w:val="0"/>
        </w:rPr>
        <w:t xml:space="preserve">, denen zufolge sich Extremist:innen zunehmend auf private Kanäle zurückziehen.</w:t>
      </w: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Die </w:t>
      </w:r>
      <w:r w:rsidDel="00000000" w:rsidR="00000000" w:rsidRPr="00000000">
        <w:rPr>
          <w:rtl w:val="0"/>
        </w:rPr>
        <w:t xml:space="preserve">Moderation</w:t>
      </w:r>
      <w:r w:rsidDel="00000000" w:rsidR="00000000" w:rsidRPr="00000000">
        <w:rPr>
          <w:rtl w:val="0"/>
        </w:rPr>
        <w:t xml:space="preserve"> selbst ist ebenfalls alles andere als trivial – und ihre Schwierigkeiten ähneln denen der Forschung. Inhalte sind oft multimodal (Text, Bild, Video), multilingual und </w:t>
      </w:r>
      <w:r w:rsidDel="00000000" w:rsidR="00000000" w:rsidRPr="00000000">
        <w:rPr>
          <w:rtl w:val="0"/>
        </w:rPr>
        <w:t xml:space="preserve">kontextabhängig</w:t>
      </w:r>
      <w:r w:rsidDel="00000000" w:rsidR="00000000" w:rsidRPr="00000000">
        <w:rPr>
          <w:rtl w:val="0"/>
        </w:rPr>
        <w:t xml:space="preserve">.</w:t>
      </w:r>
      <w:r w:rsidDel="00000000" w:rsidR="00000000" w:rsidRPr="00000000">
        <w:rPr>
          <w:vertAlign w:val="superscript"/>
        </w:rPr>
        <w:footnoteReference w:customMarkFollows="0" w:id="17"/>
      </w:r>
      <w:r w:rsidDel="00000000" w:rsidR="00000000" w:rsidRPr="00000000">
        <w:rPr>
          <w:rtl w:val="0"/>
        </w:rPr>
        <w:t xml:space="preserve"> Ein harmlos wirkender Satz kann in einem bestimmten Subkultur-Zusammenhang hochgradig extremistisch sein.</w:t>
      </w:r>
      <w:r w:rsidDel="00000000" w:rsidR="00000000" w:rsidRPr="00000000">
        <w:rPr>
          <w:vertAlign w:val="superscript"/>
        </w:rPr>
        <w:footnoteReference w:customMarkFollows="0" w:id="18"/>
      </w:r>
      <w:r w:rsidDel="00000000" w:rsidR="00000000" w:rsidRPr="00000000">
        <w:rPr>
          <w:rtl w:val="0"/>
        </w:rPr>
        <w:t xml:space="preserve"> Hinzu kommen, selbst im Falle halbwegs erfolgreicher </w:t>
      </w:r>
      <w:r w:rsidDel="00000000" w:rsidR="00000000" w:rsidRPr="00000000">
        <w:rPr>
          <w:rtl w:val="0"/>
        </w:rPr>
        <w:t xml:space="preserve">Moderationspraktiken,</w:t>
      </w:r>
      <w:r w:rsidDel="00000000" w:rsidR="00000000" w:rsidRPr="00000000">
        <w:rPr>
          <w:rtl w:val="0"/>
        </w:rPr>
        <w:t xml:space="preserve"> kreative </w:t>
      </w:r>
      <w:r w:rsidDel="00000000" w:rsidR="00000000" w:rsidRPr="00000000">
        <w:rPr>
          <w:rtl w:val="0"/>
        </w:rPr>
        <w:t xml:space="preserve">Umgehungscodes</w:t>
      </w:r>
      <w:r w:rsidDel="00000000" w:rsidR="00000000" w:rsidRPr="00000000">
        <w:rPr>
          <w:rtl w:val="0"/>
        </w:rPr>
        <w:t xml:space="preserve"> wie der sogenannte </w:t>
      </w:r>
      <w:r w:rsidDel="00000000" w:rsidR="00000000" w:rsidRPr="00000000">
        <w:rPr>
          <w:rtl w:val="0"/>
        </w:rPr>
        <w:t xml:space="preserve">»</w:t>
      </w:r>
      <w:r w:rsidDel="00000000" w:rsidR="00000000" w:rsidRPr="00000000">
        <w:rPr>
          <w:rtl w:val="0"/>
        </w:rPr>
        <w:t xml:space="preserve">Algospeak</w:t>
      </w:r>
      <w:r w:rsidDel="00000000" w:rsidR="00000000" w:rsidRPr="00000000">
        <w:rPr>
          <w:rtl w:val="0"/>
        </w:rPr>
        <w:t xml:space="preserve">«:</w:t>
      </w:r>
      <w:r w:rsidDel="00000000" w:rsidR="00000000" w:rsidRPr="00000000">
        <w:rPr>
          <w:rtl w:val="0"/>
        </w:rPr>
        <w:t xml:space="preserve"> Werden gewisse Worte oder Inhalte gesperrt, moderiert oder indirekt sanktioniert (etwa dadurch, dass YouTube-Videos </w:t>
      </w:r>
      <w:r w:rsidDel="00000000" w:rsidR="00000000" w:rsidRPr="00000000">
        <w:rPr>
          <w:rtl w:val="0"/>
        </w:rPr>
        <w:t xml:space="preserve">demonetarisiert,</w:t>
      </w:r>
      <w:r w:rsidDel="00000000" w:rsidR="00000000" w:rsidRPr="00000000">
        <w:rPr>
          <w:rtl w:val="0"/>
        </w:rPr>
        <w:t xml:space="preserve"> also von der finanziellen Vergütung ausgeschlossen werden),</w:t>
      </w:r>
      <w:r w:rsidDel="00000000" w:rsidR="00000000" w:rsidRPr="00000000">
        <w:rPr>
          <w:vertAlign w:val="superscript"/>
        </w:rPr>
        <w:footnoteReference w:customMarkFollows="0" w:id="19"/>
      </w:r>
      <w:r w:rsidDel="00000000" w:rsidR="00000000" w:rsidRPr="00000000">
        <w:rPr>
          <w:rtl w:val="0"/>
        </w:rPr>
        <w:t xml:space="preserve"> f</w:t>
      </w:r>
      <w:r w:rsidDel="00000000" w:rsidR="00000000" w:rsidRPr="00000000">
        <w:rPr>
          <w:rtl w:val="0"/>
        </w:rPr>
        <w:t xml:space="preserve">ührt dies zu sprachlichen </w:t>
      </w:r>
      <w:r w:rsidDel="00000000" w:rsidR="00000000" w:rsidRPr="00000000">
        <w:rPr>
          <w:rtl w:val="0"/>
        </w:rPr>
        <w:t xml:space="preserve">Umgehungsprozessen.</w:t>
      </w:r>
      <w:r w:rsidDel="00000000" w:rsidR="00000000" w:rsidRPr="00000000">
        <w:rPr>
          <w:rtl w:val="0"/>
        </w:rPr>
        <w:t xml:space="preserve"> Ein recht bekanntes Beispiel ist </w:t>
      </w:r>
      <w:r w:rsidDel="00000000" w:rsidR="00000000" w:rsidRPr="00000000">
        <w:rPr>
          <w:rtl w:val="0"/>
        </w:rPr>
        <w:t xml:space="preserve">etwa das Wort </w:t>
      </w:r>
      <w:r w:rsidDel="00000000" w:rsidR="00000000" w:rsidRPr="00000000">
        <w:rPr>
          <w:rtl w:val="0"/>
        </w:rPr>
        <w:t xml:space="preserve">»</w:t>
      </w:r>
      <w:r w:rsidDel="00000000" w:rsidR="00000000" w:rsidRPr="00000000">
        <w:rPr>
          <w:rtl w:val="0"/>
        </w:rPr>
        <w:t xml:space="preserve">unalive</w:t>
      </w:r>
      <w:r w:rsidDel="00000000" w:rsidR="00000000" w:rsidRPr="00000000">
        <w:rPr>
          <w:rtl w:val="0"/>
        </w:rPr>
        <w:t xml:space="preserve">«</w:t>
      </w:r>
      <w:r w:rsidDel="00000000" w:rsidR="00000000" w:rsidRPr="00000000">
        <w:rPr>
          <w:rtl w:val="0"/>
        </w:rPr>
        <w:t xml:space="preserve">, das im Netz verwendet wird, um Zensur oder Moderation des Begriffs </w:t>
      </w:r>
      <w:r w:rsidDel="00000000" w:rsidR="00000000" w:rsidRPr="00000000">
        <w:rPr>
          <w:rtl w:val="0"/>
        </w:rPr>
        <w:t xml:space="preserve">»</w:t>
      </w:r>
      <w:r w:rsidDel="00000000" w:rsidR="00000000" w:rsidRPr="00000000">
        <w:rPr>
          <w:rtl w:val="0"/>
        </w:rPr>
        <w:t xml:space="preserve">kill</w:t>
      </w:r>
      <w:r w:rsidDel="00000000" w:rsidR="00000000" w:rsidRPr="00000000">
        <w:rPr>
          <w:rtl w:val="0"/>
        </w:rPr>
        <w:t xml:space="preserve">«</w:t>
      </w:r>
      <w:r w:rsidDel="00000000" w:rsidR="00000000" w:rsidRPr="00000000">
        <w:rPr>
          <w:rtl w:val="0"/>
        </w:rPr>
        <w:t xml:space="preserve"> zu umgehen </w:t>
      </w:r>
      <w:r w:rsidDel="00000000" w:rsidR="00000000" w:rsidRPr="00000000">
        <w:rPr>
          <w:rtl w:val="0"/>
        </w:rPr>
        <w:t xml:space="preserve">– die strikte und zu wenig kontextsensible Behandlung solcher Termini führt mitunter zur </w:t>
      </w:r>
      <w:r w:rsidDel="00000000" w:rsidR="00000000" w:rsidRPr="00000000">
        <w:rPr>
          <w:rtl w:val="0"/>
        </w:rPr>
        <w:t xml:space="preserve">Erschwernissen in der Erstellung und Verbreitung </w:t>
      </w:r>
      <w:r w:rsidDel="00000000" w:rsidR="00000000" w:rsidRPr="00000000">
        <w:rPr>
          <w:rtl w:val="0"/>
        </w:rPr>
        <w:t xml:space="preserve">von Inhalten zur Suizidprävention</w:t>
      </w:r>
      <w:r w:rsidDel="00000000" w:rsidR="00000000" w:rsidRPr="00000000">
        <w:rPr>
          <w:rtl w:val="0"/>
        </w:rPr>
        <w:t xml:space="preserve">.</w:t>
      </w:r>
      <w:r w:rsidDel="00000000" w:rsidR="00000000" w:rsidRPr="00000000">
        <w:rPr>
          <w:vertAlign w:val="superscript"/>
        </w:rPr>
        <w:footnoteReference w:customMarkFollows="0" w:id="20"/>
      </w:r>
      <w:r w:rsidDel="00000000" w:rsidR="00000000" w:rsidRPr="00000000">
        <w:rPr>
          <w:rtl w:val="0"/>
        </w:rPr>
        <w:t xml:space="preserve"> Derartige Phänomene erschweren sowohl automatische Erkennungssysteme als auch wissenschaftliche Analysen.</w:t>
      </w:r>
    </w:p>
    <w:p w:rsidR="00000000" w:rsidDel="00000000" w:rsidP="00000000" w:rsidRDefault="00000000" w:rsidRPr="00000000" w14:paraId="0000001A">
      <w:pPr>
        <w:jc w:val="both"/>
        <w:rPr>
          <w:shd w:fill="cccccc" w:val="clear"/>
        </w:rPr>
      </w:pPr>
      <w:r w:rsidDel="00000000" w:rsidR="00000000" w:rsidRPr="00000000">
        <w:rPr>
          <w:rtl w:val="0"/>
        </w:rPr>
        <w:t xml:space="preserve">Zurück zum Anfang: Soziale Netzwerke haben sich im Vergleich zu ihrer Frühphase also stark gewandelt. Schritt für Schritt wurden </w:t>
      </w:r>
      <w:r w:rsidDel="00000000" w:rsidR="00000000" w:rsidRPr="00000000">
        <w:rPr>
          <w:rtl w:val="0"/>
        </w:rPr>
        <w:t xml:space="preserve">von Hand kuratierte</w:t>
      </w:r>
      <w:r w:rsidDel="00000000" w:rsidR="00000000" w:rsidRPr="00000000">
        <w:rPr>
          <w:rtl w:val="0"/>
        </w:rPr>
        <w:t xml:space="preserve"> Inhalte oder simple chronologische Feeds durch hoch optimierte, intransparente Algorithmen ersetzt. Das dient nicht nur den wirtschaftlichen Interessen der Plattformbetreiber, sondern fördert als Nebeneffekt auch die Verbreitung extremistischer Inhalte. Die Konsequenzen sind zudem schwierig zu beurteilen; die häufig tradierten Narrative verkürzen die tatsächlichen Prozesse stark, im Kern gibt es hier aber jedenfalls potenziell schwerwiegende gesellschaftliche Folgen. Vor diesem Hintergrund ist einerseits wohlüberlegte Regulierung der algorithmischen Systeme und Funktionsweise sozialer Medien von politischer Seite notwendiger denn je, andererseits muss auch die Öffnung der Plattformen gegenüber kritischer interdisziplinärer Forschung verstärkt durchgesetzt werden.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8">
    <w:p w:rsidR="00000000" w:rsidDel="00000000" w:rsidP="00000000" w:rsidRDefault="00000000" w:rsidRPr="00000000" w14:paraId="0000001B">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So wird etwa eine gezielte russische Kampagne zur Einflussnahme auf TikTok für den überraschenden, nicht aus den Vorwahlumfragen erwartbaren Erfolg des rechtsextremen Kandidaten Călin Georgescu in der rumänischen Präsidentschaftswahl 2024 verantwortlich gemacht. (Die Wahl wurde annulliert und 2025 wiederholt.) Vgl. Georgiana Camelia Stănescu: »Fake News, Bots, and Influencers: The Impact of Social Media on Romania’s 2024 Elections«. </w:t>
      </w:r>
      <w:r w:rsidDel="00000000" w:rsidR="00000000" w:rsidRPr="00000000">
        <w:rPr>
          <w:i w:val="1"/>
          <w:sz w:val="20"/>
          <w:szCs w:val="20"/>
          <w:rtl w:val="0"/>
        </w:rPr>
        <w:t xml:space="preserve">Social Sciences and Education Research Review</w:t>
      </w:r>
      <w:r w:rsidDel="00000000" w:rsidR="00000000" w:rsidRPr="00000000">
        <w:rPr>
          <w:sz w:val="20"/>
          <w:szCs w:val="20"/>
          <w:rtl w:val="0"/>
        </w:rPr>
        <w:t xml:space="preserve"> 11(2), 2024: S. 361–366.</w:t>
      </w:r>
    </w:p>
  </w:footnote>
  <w:footnote w:id="1">
    <w:p w:rsidR="00000000" w:rsidDel="00000000" w:rsidP="00000000" w:rsidRDefault="00000000" w:rsidRPr="00000000" w14:paraId="0000001C">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Siehe </w:t>
      </w:r>
      <w:r w:rsidDel="00000000" w:rsidR="00000000" w:rsidRPr="00000000">
        <w:rPr>
          <w:sz w:val="20"/>
          <w:szCs w:val="20"/>
          <w:rtl w:val="0"/>
        </w:rPr>
        <w:t xml:space="preserve">etwa</w:t>
      </w:r>
      <w:r w:rsidDel="00000000" w:rsidR="00000000" w:rsidRPr="00000000">
        <w:rPr>
          <w:sz w:val="20"/>
          <w:szCs w:val="20"/>
          <w:rtl w:val="0"/>
        </w:rPr>
        <w:t xml:space="preserve"> Niels Brügger: »A Brief History of Facebook as a Media Text: The Development of an Empty Structure«. </w:t>
      </w:r>
      <w:r w:rsidDel="00000000" w:rsidR="00000000" w:rsidRPr="00000000">
        <w:rPr>
          <w:i w:val="1"/>
          <w:sz w:val="20"/>
          <w:szCs w:val="20"/>
          <w:rtl w:val="0"/>
        </w:rPr>
        <w:t xml:space="preserve">First Monday</w:t>
      </w:r>
      <w:r w:rsidDel="00000000" w:rsidR="00000000" w:rsidRPr="00000000">
        <w:rPr>
          <w:sz w:val="20"/>
          <w:szCs w:val="20"/>
          <w:rtl w:val="0"/>
        </w:rPr>
        <w:t xml:space="preserve"> 20(5), 2015. </w:t>
      </w:r>
      <w:hyperlink r:id="rId1">
        <w:r w:rsidDel="00000000" w:rsidR="00000000" w:rsidRPr="00000000">
          <w:rPr>
            <w:color w:val="1155cc"/>
            <w:sz w:val="20"/>
            <w:szCs w:val="20"/>
            <w:u w:val="single"/>
            <w:rtl w:val="0"/>
          </w:rPr>
          <w:t xml:space="preserve">https://doi.org/10.5210/fm.v20i5.5423</w:t>
        </w:r>
      </w:hyperlink>
      <w:r w:rsidDel="00000000" w:rsidR="00000000" w:rsidRPr="00000000">
        <w:rPr>
          <w:sz w:val="20"/>
          <w:szCs w:val="20"/>
          <w:rtl w:val="0"/>
        </w:rPr>
        <w:t xml:space="preserve">.</w:t>
      </w:r>
      <w:r w:rsidDel="00000000" w:rsidR="00000000" w:rsidRPr="00000000">
        <w:rPr>
          <w:rtl w:val="0"/>
        </w:rPr>
      </w:r>
    </w:p>
  </w:footnote>
  <w:footnote w:id="2">
    <w:p w:rsidR="00000000" w:rsidDel="00000000" w:rsidP="00000000" w:rsidRDefault="00000000" w:rsidRPr="00000000" w14:paraId="0000001D">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Vgl. Daniel Klug, Yiluo Qin, Morgan Evans und Geoff Kaufman: »Trick and Please. A Mixed-Method Study On User Assumptions About the TikTok Algorithm«. In: </w:t>
      </w:r>
      <w:r w:rsidDel="00000000" w:rsidR="00000000" w:rsidRPr="00000000">
        <w:rPr>
          <w:i w:val="1"/>
          <w:sz w:val="20"/>
          <w:szCs w:val="20"/>
          <w:rtl w:val="0"/>
        </w:rPr>
        <w:t xml:space="preserve">Proceedings of the 13th ACM Web Science Conference 2021</w:t>
      </w:r>
      <w:r w:rsidDel="00000000" w:rsidR="00000000" w:rsidRPr="00000000">
        <w:rPr>
          <w:sz w:val="20"/>
          <w:szCs w:val="20"/>
          <w:rtl w:val="0"/>
        </w:rPr>
        <w:t xml:space="preserve"> (WebSci '21). New York, NY: ACM, 2021, S. 84–92. </w:t>
      </w:r>
      <w:hyperlink r:id="rId2">
        <w:r w:rsidDel="00000000" w:rsidR="00000000" w:rsidRPr="00000000">
          <w:rPr>
            <w:color w:val="1155cc"/>
            <w:sz w:val="20"/>
            <w:szCs w:val="20"/>
            <w:u w:val="single"/>
            <w:rtl w:val="0"/>
          </w:rPr>
          <w:t xml:space="preserve">https://doi.org/10.1145/3447535.3462512</w:t>
        </w:r>
      </w:hyperlink>
      <w:r w:rsidDel="00000000" w:rsidR="00000000" w:rsidRPr="00000000">
        <w:rPr>
          <w:sz w:val="20"/>
          <w:szCs w:val="20"/>
          <w:rtl w:val="0"/>
        </w:rPr>
        <w:t xml:space="preserve">.</w:t>
      </w:r>
      <w:r w:rsidDel="00000000" w:rsidR="00000000" w:rsidRPr="00000000">
        <w:rPr>
          <w:rtl w:val="0"/>
        </w:rPr>
      </w:r>
    </w:p>
  </w:footnote>
  <w:footnote w:id="7">
    <w:p w:rsidR="00000000" w:rsidDel="00000000" w:rsidP="00000000" w:rsidRDefault="00000000" w:rsidRPr="00000000" w14:paraId="0000001E">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Vgl. </w:t>
      </w:r>
      <w:r w:rsidDel="00000000" w:rsidR="00000000" w:rsidRPr="00000000">
        <w:rPr>
          <w:sz w:val="20"/>
          <w:szCs w:val="20"/>
          <w:rtl w:val="0"/>
        </w:rPr>
        <w:t xml:space="preserve">hierzu</w:t>
      </w:r>
      <w:r w:rsidDel="00000000" w:rsidR="00000000" w:rsidRPr="00000000">
        <w:rPr>
          <w:sz w:val="20"/>
          <w:szCs w:val="20"/>
          <w:rtl w:val="0"/>
        </w:rPr>
        <w:t xml:space="preserve"> exemplarisch Motahhare Eslami, Karrie Karahalios, Christian Sandvig, Kristen Vaccaro, Aimee Rickman, Kevin Hamilton und Alex Kirlik: »First I “Like” It, Then I Hide It: Folk Theories of Social Feeds«. In </w:t>
      </w:r>
      <w:r w:rsidDel="00000000" w:rsidR="00000000" w:rsidRPr="00000000">
        <w:rPr>
          <w:i w:val="1"/>
          <w:sz w:val="20"/>
          <w:szCs w:val="20"/>
          <w:rtl w:val="0"/>
        </w:rPr>
        <w:t xml:space="preserve">Proceedings of the 2016 CHI Conference on Human Factors in Computing Systems</w:t>
      </w:r>
      <w:r w:rsidDel="00000000" w:rsidR="00000000" w:rsidRPr="00000000">
        <w:rPr>
          <w:sz w:val="20"/>
          <w:szCs w:val="20"/>
          <w:rtl w:val="0"/>
        </w:rPr>
        <w:t xml:space="preserve"> (CHI '16). New York, NY: ACM, 2016, S. 2371–2382. </w:t>
      </w:r>
      <w:hyperlink r:id="rId3">
        <w:r w:rsidDel="00000000" w:rsidR="00000000" w:rsidRPr="00000000">
          <w:rPr>
            <w:color w:val="1155cc"/>
            <w:sz w:val="20"/>
            <w:szCs w:val="20"/>
            <w:u w:val="single"/>
            <w:rtl w:val="0"/>
          </w:rPr>
          <w:t xml:space="preserve">https://doi.org/10.1145/2858036.2858494</w:t>
        </w:r>
      </w:hyperlink>
      <w:r w:rsidDel="00000000" w:rsidR="00000000" w:rsidRPr="00000000">
        <w:rPr>
          <w:sz w:val="20"/>
          <w:szCs w:val="20"/>
          <w:rtl w:val="0"/>
        </w:rPr>
        <w:t xml:space="preserve">; </w:t>
      </w:r>
      <w:r w:rsidDel="00000000" w:rsidR="00000000" w:rsidRPr="00000000">
        <w:rPr>
          <w:sz w:val="20"/>
          <w:szCs w:val="20"/>
          <w:rtl w:val="0"/>
        </w:rPr>
        <w:t xml:space="preserve">sowie</w:t>
      </w:r>
      <w:r w:rsidDel="00000000" w:rsidR="00000000" w:rsidRPr="00000000">
        <w:rPr>
          <w:sz w:val="20"/>
          <w:szCs w:val="20"/>
          <w:rtl w:val="0"/>
        </w:rPr>
        <w:t xml:space="preserve"> Michael Ann DeVito, Darren Gergle und Jeremy Birnholtz: »“Algorithms Ruin Everything”: #RIPTwitter, Folk Theories, and Resistance to Algorithmic Change in Social Media«. In: </w:t>
      </w:r>
      <w:r w:rsidDel="00000000" w:rsidR="00000000" w:rsidRPr="00000000">
        <w:rPr>
          <w:i w:val="1"/>
          <w:sz w:val="20"/>
          <w:szCs w:val="20"/>
          <w:rtl w:val="0"/>
        </w:rPr>
        <w:t xml:space="preserve">Proceedings of the 2017 CHI Conference on Human Factors in Computing Systems</w:t>
      </w:r>
      <w:r w:rsidDel="00000000" w:rsidR="00000000" w:rsidRPr="00000000">
        <w:rPr>
          <w:sz w:val="20"/>
          <w:szCs w:val="20"/>
          <w:rtl w:val="0"/>
        </w:rPr>
        <w:t xml:space="preserve"> (CHI '17). New York, NY: ACM, 2017, S. 3163–3174. </w:t>
      </w:r>
      <w:hyperlink r:id="rId4">
        <w:r w:rsidDel="00000000" w:rsidR="00000000" w:rsidRPr="00000000">
          <w:rPr>
            <w:color w:val="1155cc"/>
            <w:sz w:val="20"/>
            <w:szCs w:val="20"/>
            <w:u w:val="single"/>
            <w:rtl w:val="0"/>
          </w:rPr>
          <w:t xml:space="preserve">https://doi.org/10.1145/3025453.3025659</w:t>
        </w:r>
      </w:hyperlink>
      <w:r w:rsidDel="00000000" w:rsidR="00000000" w:rsidRPr="00000000">
        <w:rPr>
          <w:sz w:val="20"/>
          <w:szCs w:val="20"/>
          <w:rtl w:val="0"/>
        </w:rPr>
        <w:t xml:space="preserve">.</w:t>
      </w:r>
    </w:p>
  </w:footnote>
  <w:footnote w:id="9">
    <w:p w:rsidR="00000000" w:rsidDel="00000000" w:rsidP="00000000" w:rsidRDefault="00000000" w:rsidRPr="00000000" w14:paraId="0000001F">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Vgl. Jack Bandy: »Problematic Machine Behavior: A Systematic Literature Review of Algorithm Audits«. </w:t>
      </w:r>
      <w:r w:rsidDel="00000000" w:rsidR="00000000" w:rsidRPr="00000000">
        <w:rPr>
          <w:i w:val="1"/>
          <w:sz w:val="20"/>
          <w:szCs w:val="20"/>
          <w:rtl w:val="0"/>
        </w:rPr>
        <w:t xml:space="preserve">Proceedings of the ACM on Human-Computer Interaction</w:t>
      </w:r>
      <w:r w:rsidDel="00000000" w:rsidR="00000000" w:rsidRPr="00000000">
        <w:rPr>
          <w:sz w:val="20"/>
          <w:szCs w:val="20"/>
          <w:rtl w:val="0"/>
        </w:rPr>
        <w:t xml:space="preserve"> 5(CSCW1), 2021: Article 74. </w:t>
      </w:r>
      <w:hyperlink r:id="rId5">
        <w:r w:rsidDel="00000000" w:rsidR="00000000" w:rsidRPr="00000000">
          <w:rPr>
            <w:color w:val="1155cc"/>
            <w:sz w:val="20"/>
            <w:szCs w:val="20"/>
            <w:u w:val="single"/>
            <w:rtl w:val="0"/>
          </w:rPr>
          <w:t xml:space="preserve">https://doi.org/10.1145/3449148</w:t>
        </w:r>
      </w:hyperlink>
      <w:r w:rsidDel="00000000" w:rsidR="00000000" w:rsidRPr="00000000">
        <w:rPr>
          <w:sz w:val="20"/>
          <w:szCs w:val="20"/>
          <w:rtl w:val="0"/>
        </w:rPr>
        <w:t xml:space="preserve">.</w:t>
      </w:r>
      <w:r w:rsidDel="00000000" w:rsidR="00000000" w:rsidRPr="00000000">
        <w:rPr>
          <w:rtl w:val="0"/>
        </w:rPr>
      </w:r>
    </w:p>
  </w:footnote>
  <w:footnote w:id="10">
    <w:p w:rsidR="00000000" w:rsidDel="00000000" w:rsidP="00000000" w:rsidRDefault="00000000" w:rsidRPr="00000000" w14:paraId="00000020">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Anja Lambrecht und Catherine Tucker: »Algorithmic Bias? An Empirical Study of Apparent Gender-Based Discrimination in the Display of STEM Career Ads«. </w:t>
      </w:r>
      <w:r w:rsidDel="00000000" w:rsidR="00000000" w:rsidRPr="00000000">
        <w:rPr>
          <w:i w:val="1"/>
          <w:sz w:val="20"/>
          <w:szCs w:val="20"/>
          <w:rtl w:val="0"/>
        </w:rPr>
        <w:t xml:space="preserve">Management Science</w:t>
      </w:r>
      <w:r w:rsidDel="00000000" w:rsidR="00000000" w:rsidRPr="00000000">
        <w:rPr>
          <w:sz w:val="20"/>
          <w:szCs w:val="20"/>
          <w:rtl w:val="0"/>
        </w:rPr>
        <w:t xml:space="preserve"> 65(7), 2019: S. 2966–2981. </w:t>
      </w:r>
      <w:hyperlink r:id="rId6">
        <w:r w:rsidDel="00000000" w:rsidR="00000000" w:rsidRPr="00000000">
          <w:rPr>
            <w:color w:val="1155cc"/>
            <w:sz w:val="20"/>
            <w:szCs w:val="20"/>
            <w:u w:val="single"/>
            <w:rtl w:val="0"/>
          </w:rPr>
          <w:t xml:space="preserve">https://doi.org/10.1287/mnsc.2018.3093</w:t>
        </w:r>
      </w:hyperlink>
      <w:r w:rsidDel="00000000" w:rsidR="00000000" w:rsidRPr="00000000">
        <w:rPr>
          <w:sz w:val="20"/>
          <w:szCs w:val="20"/>
          <w:rtl w:val="0"/>
        </w:rPr>
        <w:t xml:space="preserve">.</w:t>
      </w:r>
      <w:r w:rsidDel="00000000" w:rsidR="00000000" w:rsidRPr="00000000">
        <w:rPr>
          <w:rtl w:val="0"/>
        </w:rPr>
      </w:r>
    </w:p>
  </w:footnote>
  <w:footnote w:id="19">
    <w:p w:rsidR="00000000" w:rsidDel="00000000" w:rsidP="00000000" w:rsidRDefault="00000000" w:rsidRPr="00000000" w14:paraId="00000021">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Arun Dunna, Katherine A. Keith, Ethan Zuckerman, Narseo Vallina-Rodriguez, Brendan O'Connor, und Rishab Nithyanand: »Paying Attention to the Algorithm Behind the Curtain: Bringing Transparency to YouTube's Demonetization Algorithms«. </w:t>
      </w:r>
      <w:r w:rsidDel="00000000" w:rsidR="00000000" w:rsidRPr="00000000">
        <w:rPr>
          <w:i w:val="1"/>
          <w:sz w:val="20"/>
          <w:szCs w:val="20"/>
          <w:rtl w:val="0"/>
        </w:rPr>
        <w:t xml:space="preserve">Proceedings of the ACM on Human-Computer Interaction</w:t>
      </w:r>
      <w:r w:rsidDel="00000000" w:rsidR="00000000" w:rsidRPr="00000000">
        <w:rPr>
          <w:sz w:val="20"/>
          <w:szCs w:val="20"/>
          <w:rtl w:val="0"/>
        </w:rPr>
        <w:t xml:space="preserve"> 6(CSCW2), 2022: Article 318. </w:t>
      </w:r>
      <w:hyperlink r:id="rId7">
        <w:r w:rsidDel="00000000" w:rsidR="00000000" w:rsidRPr="00000000">
          <w:rPr>
            <w:color w:val="1155cc"/>
            <w:sz w:val="20"/>
            <w:szCs w:val="20"/>
            <w:u w:val="single"/>
            <w:rtl w:val="0"/>
          </w:rPr>
          <w:t xml:space="preserve">https://doi.org/10.1145/3555209</w:t>
        </w:r>
      </w:hyperlink>
      <w:r w:rsidDel="00000000" w:rsidR="00000000" w:rsidRPr="00000000">
        <w:rPr>
          <w:sz w:val="20"/>
          <w:szCs w:val="20"/>
          <w:rtl w:val="0"/>
        </w:rPr>
        <w:t xml:space="preserve">.</w:t>
      </w:r>
      <w:r w:rsidDel="00000000" w:rsidR="00000000" w:rsidRPr="00000000">
        <w:rPr>
          <w:rtl w:val="0"/>
        </w:rPr>
      </w:r>
    </w:p>
  </w:footnote>
  <w:footnote w:id="20">
    <w:p w:rsidR="00000000" w:rsidDel="00000000" w:rsidP="00000000" w:rsidRDefault="00000000" w:rsidRPr="00000000" w14:paraId="00000022">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Ella Steen, Kathryn Yurechko und Daniel Klug. »You Can (Not) Say What You Want: Using Algospeak to Contest and Evade Algorithmic Content Moderation on TikTok«. </w:t>
      </w:r>
      <w:r w:rsidDel="00000000" w:rsidR="00000000" w:rsidRPr="00000000">
        <w:rPr>
          <w:i w:val="1"/>
          <w:sz w:val="20"/>
          <w:szCs w:val="20"/>
          <w:rtl w:val="0"/>
        </w:rPr>
        <w:t xml:space="preserve">Social Media + Society</w:t>
      </w:r>
      <w:r w:rsidDel="00000000" w:rsidR="00000000" w:rsidRPr="00000000">
        <w:rPr>
          <w:sz w:val="20"/>
          <w:szCs w:val="20"/>
          <w:rtl w:val="0"/>
        </w:rPr>
        <w:t xml:space="preserve"> 9(3), 2023. </w:t>
      </w:r>
      <w:hyperlink r:id="rId8">
        <w:r w:rsidDel="00000000" w:rsidR="00000000" w:rsidRPr="00000000">
          <w:rPr>
            <w:color w:val="1155cc"/>
            <w:sz w:val="20"/>
            <w:szCs w:val="20"/>
            <w:u w:val="single"/>
            <w:rtl w:val="0"/>
          </w:rPr>
          <w:t xml:space="preserve">https://doi.org/10.1177/20563051231194586</w:t>
        </w:r>
      </w:hyperlink>
      <w:r w:rsidDel="00000000" w:rsidR="00000000" w:rsidRPr="00000000">
        <w:rPr>
          <w:sz w:val="20"/>
          <w:szCs w:val="20"/>
          <w:rtl w:val="0"/>
        </w:rPr>
        <w:t xml:space="preserve">.</w:t>
      </w:r>
      <w:r w:rsidDel="00000000" w:rsidR="00000000" w:rsidRPr="00000000">
        <w:rPr>
          <w:rtl w:val="0"/>
        </w:rPr>
      </w:r>
    </w:p>
  </w:footnote>
  <w:footnote w:id="0">
    <w:p w:rsidR="00000000" w:rsidDel="00000000" w:rsidP="00000000" w:rsidRDefault="00000000" w:rsidRPr="00000000" w14:paraId="00000023">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Tobias Kietreiber, Lukas Daniel Klausner und Felix Krejca arbeiten am Department Informatik und Security der FH St. Pölten und forschen derzeit im vom Land Niederösterreich geförderten Projekt »NO:HATE – Radikalisierung und Hass im Netz« (</w:t>
      </w:r>
      <w:hyperlink r:id="rId9">
        <w:r w:rsidDel="00000000" w:rsidR="00000000" w:rsidRPr="00000000">
          <w:rPr>
            <w:color w:val="1155cc"/>
            <w:sz w:val="20"/>
            <w:szCs w:val="20"/>
            <w:u w:val="single"/>
            <w:rtl w:val="0"/>
          </w:rPr>
          <w:t xml:space="preserve">https://research.fhstp.ac.at/projekte/no-hate-radikalisierung-und-hass-im-netz</w:t>
        </w:r>
      </w:hyperlink>
      <w:r w:rsidDel="00000000" w:rsidR="00000000" w:rsidRPr="00000000">
        <w:rPr>
          <w:sz w:val="20"/>
          <w:szCs w:val="20"/>
          <w:rtl w:val="0"/>
        </w:rPr>
        <w:t xml:space="preserve">) zu Hate Speech, Radikalisierungsprozessen und algorithmischen Verstärkungsmechanismen auf sozialen Medien.</w:t>
      </w:r>
    </w:p>
  </w:footnote>
  <w:footnote w:id="11">
    <w:p w:rsidR="00000000" w:rsidDel="00000000" w:rsidP="00000000" w:rsidRDefault="00000000" w:rsidRPr="00000000" w14:paraId="00000024">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Robert F. Bornstein und Catherine Craver-Lemley: »Mere Exposure Effect«. In: </w:t>
      </w:r>
      <w:r w:rsidDel="00000000" w:rsidR="00000000" w:rsidRPr="00000000">
        <w:rPr>
          <w:i w:val="1"/>
          <w:sz w:val="20"/>
          <w:szCs w:val="20"/>
          <w:rtl w:val="0"/>
        </w:rPr>
        <w:t xml:space="preserve">Cognitive Illusions: Intriguing Phenomena in Thinking, Judgment, and Memory</w:t>
      </w:r>
      <w:r w:rsidDel="00000000" w:rsidR="00000000" w:rsidRPr="00000000">
        <w:rPr>
          <w:sz w:val="20"/>
          <w:szCs w:val="20"/>
          <w:rtl w:val="0"/>
        </w:rPr>
        <w:t xml:space="preserve">, </w:t>
      </w:r>
      <w:r w:rsidDel="00000000" w:rsidR="00000000" w:rsidRPr="00000000">
        <w:rPr>
          <w:sz w:val="20"/>
          <w:szCs w:val="20"/>
          <w:rtl w:val="0"/>
        </w:rPr>
        <w:t xml:space="preserve">hrsg</w:t>
      </w:r>
      <w:r w:rsidDel="00000000" w:rsidR="00000000" w:rsidRPr="00000000">
        <w:rPr>
          <w:sz w:val="20"/>
          <w:szCs w:val="20"/>
          <w:rtl w:val="0"/>
        </w:rPr>
        <w:t xml:space="preserve">. von Rüdiger F. Pohl. Abingdon-on-Thames: Routledge, 2022, S. 241–258.</w:t>
      </w:r>
    </w:p>
  </w:footnote>
  <w:footnote w:id="6">
    <w:p w:rsidR="00000000" w:rsidDel="00000000" w:rsidP="00000000" w:rsidRDefault="00000000" w:rsidRPr="00000000" w14:paraId="00000025">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Vgl. Mark Bergen: »Just a Few People Crowned Some of YouTube’s Earliest Hits«. The Atlantic, 5. September 2022. </w:t>
      </w:r>
      <w:hyperlink r:id="rId10">
        <w:r w:rsidDel="00000000" w:rsidR="00000000" w:rsidRPr="00000000">
          <w:rPr>
            <w:color w:val="1155cc"/>
            <w:sz w:val="20"/>
            <w:szCs w:val="20"/>
            <w:u w:val="single"/>
            <w:rtl w:val="0"/>
          </w:rPr>
          <w:t xml:space="preserve">https://www.theatlantic.com/technology/archive/2022/09/youtube-homepage-editor-google-algorithm-book-excerpt/671339/</w:t>
        </w:r>
      </w:hyperlink>
      <w:r w:rsidDel="00000000" w:rsidR="00000000" w:rsidRPr="00000000">
        <w:rPr>
          <w:sz w:val="20"/>
          <w:szCs w:val="20"/>
          <w:rtl w:val="0"/>
        </w:rPr>
        <w:t xml:space="preserve">.</w:t>
      </w:r>
    </w:p>
  </w:footnote>
  <w:footnote w:id="15">
    <w:p w:rsidR="00000000" w:rsidDel="00000000" w:rsidP="00000000" w:rsidRDefault="00000000" w:rsidRPr="00000000" w14:paraId="00000026">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Für einen differenzierten Überblick im Kontext der Radikalisierung von Jugendlichen siehe etwa Roman Knipping-Sorokin und Teresa Stumpf: »Radikal Online – Das Internet und die Radikalisierung von Jugendlichen: Eine Metaanalyse zum Forschungsfeld«. </w:t>
      </w:r>
      <w:r w:rsidDel="00000000" w:rsidR="00000000" w:rsidRPr="00000000">
        <w:rPr>
          <w:i w:val="1"/>
          <w:sz w:val="20"/>
          <w:szCs w:val="20"/>
          <w:rtl w:val="0"/>
        </w:rPr>
        <w:t xml:space="preserve">kommunikation@gesellschaft</w:t>
      </w:r>
      <w:r w:rsidDel="00000000" w:rsidR="00000000" w:rsidRPr="00000000">
        <w:rPr>
          <w:sz w:val="20"/>
          <w:szCs w:val="20"/>
          <w:rtl w:val="0"/>
        </w:rPr>
        <w:t xml:space="preserve"> 19(3), 2018. </w:t>
      </w:r>
      <w:hyperlink r:id="rId11">
        <w:r w:rsidDel="00000000" w:rsidR="00000000" w:rsidRPr="00000000">
          <w:rPr>
            <w:color w:val="1155cc"/>
            <w:sz w:val="20"/>
            <w:szCs w:val="20"/>
            <w:u w:val="single"/>
            <w:rtl w:val="0"/>
          </w:rPr>
          <w:t xml:space="preserve">https://doi.org/10.15460/kommges.2018.19.3.606</w:t>
        </w:r>
      </w:hyperlink>
      <w:r w:rsidDel="00000000" w:rsidR="00000000" w:rsidRPr="00000000">
        <w:rPr>
          <w:sz w:val="20"/>
          <w:szCs w:val="20"/>
          <w:rtl w:val="0"/>
        </w:rPr>
        <w:t xml:space="preserve">.</w:t>
      </w:r>
    </w:p>
  </w:footnote>
  <w:footnote w:id="16">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Maura Conway, Amy Louise Watkin und Seán Looney: »Violent Extremism and Terrorism Online in 2021: The Year in Review«. Luxembourg: Publications Office of the European Union, 2021.</w:t>
      </w:r>
    </w:p>
  </w:footnote>
  <w:footnote w:id="17">
    <w:p w:rsidR="00000000" w:rsidDel="00000000" w:rsidP="00000000" w:rsidRDefault="00000000" w:rsidRPr="00000000" w14:paraId="00000028">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Felix Krejca, Tobias Kietreiber, Alexander Buchelt und Sebastian Neumaier: »Context-Aware Content Moderation for German Newspaper Comments«. In: </w:t>
      </w:r>
      <w:r w:rsidDel="00000000" w:rsidR="00000000" w:rsidRPr="00000000">
        <w:rPr>
          <w:i w:val="1"/>
          <w:sz w:val="20"/>
          <w:szCs w:val="20"/>
          <w:rtl w:val="0"/>
        </w:rPr>
        <w:t xml:space="preserve">Data Science – Analytics and Applications: Proceedings of the 6th Interdisciplinary Data Science Conference</w:t>
      </w:r>
      <w:r w:rsidDel="00000000" w:rsidR="00000000" w:rsidRPr="00000000">
        <w:rPr>
          <w:sz w:val="20"/>
          <w:szCs w:val="20"/>
          <w:rtl w:val="0"/>
        </w:rPr>
        <w:t xml:space="preserve"> (iDSC2025), hrsg. von Peter Haber, Thomas J. Lampoltshammer und Manfred Mayr. Cham: Springer, im Erscheinen. arXiv-Preprint verfügbar unter </w:t>
      </w:r>
      <w:hyperlink r:id="rId12">
        <w:r w:rsidDel="00000000" w:rsidR="00000000" w:rsidRPr="00000000">
          <w:rPr>
            <w:color w:val="1155cc"/>
            <w:sz w:val="20"/>
            <w:szCs w:val="20"/>
            <w:u w:val="single"/>
            <w:rtl w:val="0"/>
          </w:rPr>
          <w:t xml:space="preserve">https://arxiv.org/abs/2505.20963</w:t>
        </w:r>
      </w:hyperlink>
      <w:r w:rsidDel="00000000" w:rsidR="00000000" w:rsidRPr="00000000">
        <w:rPr>
          <w:sz w:val="20"/>
          <w:szCs w:val="20"/>
          <w:rtl w:val="0"/>
        </w:rPr>
        <w:t xml:space="preserve">.</w:t>
      </w:r>
    </w:p>
  </w:footnote>
  <w:footnote w:id="13">
    <w:p w:rsidR="00000000" w:rsidDel="00000000" w:rsidP="00000000" w:rsidRDefault="00000000" w:rsidRPr="00000000" w14:paraId="00000029">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Matthew Gentzkow und Jesse M. Shapiro: »Ideological Segregation Online and Offline«. </w:t>
      </w:r>
      <w:r w:rsidDel="00000000" w:rsidR="00000000" w:rsidRPr="00000000">
        <w:rPr>
          <w:i w:val="1"/>
          <w:sz w:val="20"/>
          <w:szCs w:val="20"/>
          <w:rtl w:val="0"/>
        </w:rPr>
        <w:t xml:space="preserve">The Quarterly Journal of Economics</w:t>
      </w:r>
      <w:r w:rsidDel="00000000" w:rsidR="00000000" w:rsidRPr="00000000">
        <w:rPr>
          <w:sz w:val="20"/>
          <w:szCs w:val="20"/>
          <w:rtl w:val="0"/>
        </w:rPr>
        <w:t xml:space="preserve"> 126(4), 2011: S. 1799–1839. </w:t>
      </w:r>
      <w:hyperlink r:id="rId13">
        <w:r w:rsidDel="00000000" w:rsidR="00000000" w:rsidRPr="00000000">
          <w:rPr>
            <w:color w:val="1155cc"/>
            <w:sz w:val="20"/>
            <w:szCs w:val="20"/>
            <w:u w:val="single"/>
            <w:rtl w:val="0"/>
          </w:rPr>
          <w:t xml:space="preserve">https://doi.org/10.1093/qje/qjr044</w:t>
        </w:r>
      </w:hyperlink>
      <w:r w:rsidDel="00000000" w:rsidR="00000000" w:rsidRPr="00000000">
        <w:rPr>
          <w:sz w:val="20"/>
          <w:szCs w:val="20"/>
          <w:rtl w:val="0"/>
        </w:rPr>
        <w:t xml:space="preserve">.</w:t>
      </w:r>
    </w:p>
  </w:footnote>
  <w:footnote w:id="14">
    <w:p w:rsidR="00000000" w:rsidDel="00000000" w:rsidP="00000000" w:rsidRDefault="00000000" w:rsidRPr="00000000" w14:paraId="0000002A">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Christopher A. Bail, Lisa P. Argyle, Taylor W. Brown, John P. Bumpus, Haohan Chen, M. B. Fallin Hunzaker, Jaemin Lee, Marcus Mann, Friedolin Merhout und Alexander Volfovsky: »Exposure to Opposing Views on Social Media Can Increase Political Polarization«. </w:t>
      </w:r>
      <w:r w:rsidDel="00000000" w:rsidR="00000000" w:rsidRPr="00000000">
        <w:rPr>
          <w:i w:val="1"/>
          <w:sz w:val="20"/>
          <w:szCs w:val="20"/>
          <w:rtl w:val="0"/>
        </w:rPr>
        <w:t xml:space="preserve">Proceedings of the National Academy of Sciences of the United States of America</w:t>
      </w:r>
      <w:r w:rsidDel="00000000" w:rsidR="00000000" w:rsidRPr="00000000">
        <w:rPr>
          <w:sz w:val="20"/>
          <w:szCs w:val="20"/>
          <w:rtl w:val="0"/>
        </w:rPr>
        <w:t xml:space="preserve"> 115(37), 2018: S. 9216–9221. </w:t>
      </w:r>
      <w:hyperlink r:id="rId14">
        <w:r w:rsidDel="00000000" w:rsidR="00000000" w:rsidRPr="00000000">
          <w:rPr>
            <w:color w:val="1155cc"/>
            <w:sz w:val="20"/>
            <w:szCs w:val="20"/>
            <w:u w:val="single"/>
            <w:rtl w:val="0"/>
          </w:rPr>
          <w:t xml:space="preserve">https://doi.org/10.1073/pnas.1804840115</w:t>
        </w:r>
      </w:hyperlink>
      <w:r w:rsidDel="00000000" w:rsidR="00000000" w:rsidRPr="00000000">
        <w:rPr>
          <w:sz w:val="20"/>
          <w:szCs w:val="20"/>
          <w:rtl w:val="0"/>
        </w:rPr>
        <w:t xml:space="preserve">.</w:t>
      </w:r>
    </w:p>
  </w:footnote>
  <w:footnote w:id="5">
    <w:p w:rsidR="00000000" w:rsidDel="00000000" w:rsidP="00000000" w:rsidRDefault="00000000" w:rsidRPr="00000000" w14:paraId="0000002B">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Vgl. </w:t>
      </w:r>
      <w:r w:rsidDel="00000000" w:rsidR="00000000" w:rsidRPr="00000000">
        <w:rPr>
          <w:sz w:val="20"/>
          <w:szCs w:val="20"/>
          <w:rtl w:val="0"/>
        </w:rPr>
        <w:t xml:space="preserve">hierzu</w:t>
      </w:r>
      <w:r w:rsidDel="00000000" w:rsidR="00000000" w:rsidRPr="00000000">
        <w:rPr>
          <w:sz w:val="20"/>
          <w:szCs w:val="20"/>
          <w:rtl w:val="0"/>
        </w:rPr>
        <w:t xml:space="preserve"> </w:t>
      </w:r>
      <w:r w:rsidDel="00000000" w:rsidR="00000000" w:rsidRPr="00000000">
        <w:rPr>
          <w:sz w:val="20"/>
          <w:szCs w:val="20"/>
          <w:rtl w:val="0"/>
        </w:rPr>
        <w:t xml:space="preserve">etwa</w:t>
      </w:r>
      <w:r w:rsidDel="00000000" w:rsidR="00000000" w:rsidRPr="00000000">
        <w:rPr>
          <w:sz w:val="20"/>
          <w:szCs w:val="20"/>
          <w:rtl w:val="0"/>
        </w:rPr>
        <w:t xml:space="preserve"> James Davidson, Benjamin Liebald, Junning Liu, Palash Nandy, Taylor Van Vleet, Ullas Gargi, Sujoy Gupta, Yu He, Mike Lambert, Blake Livingston und Dasarathi Sampath: »The YouTube Video Recommendation System«. In: </w:t>
      </w:r>
      <w:r w:rsidDel="00000000" w:rsidR="00000000" w:rsidRPr="00000000">
        <w:rPr>
          <w:i w:val="1"/>
          <w:sz w:val="20"/>
          <w:szCs w:val="20"/>
          <w:rtl w:val="0"/>
        </w:rPr>
        <w:t xml:space="preserve">Proceedings of the Fourth ACM Conference on Recommender Systems</w:t>
      </w:r>
      <w:r w:rsidDel="00000000" w:rsidR="00000000" w:rsidRPr="00000000">
        <w:rPr>
          <w:sz w:val="20"/>
          <w:szCs w:val="20"/>
          <w:rtl w:val="0"/>
        </w:rPr>
        <w:t xml:space="preserve"> (RecSys '10). New York, NY: ACM, 2010, S. 293–296. </w:t>
      </w:r>
      <w:hyperlink r:id="rId15">
        <w:r w:rsidDel="00000000" w:rsidR="00000000" w:rsidRPr="00000000">
          <w:rPr>
            <w:color w:val="1155cc"/>
            <w:sz w:val="20"/>
            <w:szCs w:val="20"/>
            <w:u w:val="single"/>
            <w:rtl w:val="0"/>
          </w:rPr>
          <w:t xml:space="preserve">https://doi.org/10.1145/1864708.1864770</w:t>
        </w:r>
      </w:hyperlink>
      <w:r w:rsidDel="00000000" w:rsidR="00000000" w:rsidRPr="00000000">
        <w:rPr>
          <w:sz w:val="20"/>
          <w:szCs w:val="20"/>
          <w:rtl w:val="0"/>
        </w:rPr>
        <w:t xml:space="preserve">.</w:t>
      </w:r>
    </w:p>
  </w:footnote>
  <w:footnote w:id="3">
    <w:p w:rsidR="00000000" w:rsidDel="00000000" w:rsidP="00000000" w:rsidRDefault="00000000" w:rsidRPr="00000000" w14:paraId="0000002C">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Siehe </w:t>
      </w:r>
      <w:r w:rsidDel="00000000" w:rsidR="00000000" w:rsidRPr="00000000">
        <w:rPr>
          <w:sz w:val="20"/>
          <w:szCs w:val="20"/>
          <w:rtl w:val="0"/>
        </w:rPr>
        <w:t xml:space="preserve">hierzu</w:t>
      </w:r>
      <w:r w:rsidDel="00000000" w:rsidR="00000000" w:rsidRPr="00000000">
        <w:rPr>
          <w:sz w:val="20"/>
          <w:szCs w:val="20"/>
          <w:rtl w:val="0"/>
        </w:rPr>
        <w:t xml:space="preserve"> Alexis C. Madrigal: »The Reason Conspiracy Videos Work So Well on YouTube«. </w:t>
      </w:r>
      <w:r w:rsidDel="00000000" w:rsidR="00000000" w:rsidRPr="00000000">
        <w:rPr>
          <w:i w:val="1"/>
          <w:sz w:val="20"/>
          <w:szCs w:val="20"/>
          <w:rtl w:val="0"/>
        </w:rPr>
        <w:t xml:space="preserve">The Atlantic</w:t>
      </w:r>
      <w:r w:rsidDel="00000000" w:rsidR="00000000" w:rsidRPr="00000000">
        <w:rPr>
          <w:sz w:val="20"/>
          <w:szCs w:val="20"/>
          <w:rtl w:val="0"/>
        </w:rPr>
        <w:t xml:space="preserve">, 21. Feber 2019. </w:t>
      </w:r>
      <w:hyperlink r:id="rId16">
        <w:r w:rsidDel="00000000" w:rsidR="00000000" w:rsidRPr="00000000">
          <w:rPr>
            <w:color w:val="1155cc"/>
            <w:sz w:val="20"/>
            <w:szCs w:val="20"/>
            <w:u w:val="single"/>
            <w:rtl w:val="0"/>
          </w:rPr>
          <w:t xml:space="preserve">https://www.theatlantic.com/technology/archive/2019/02/reason-conspiracy-videos-work-so-well-youtube/583282/</w:t>
        </w:r>
      </w:hyperlink>
      <w:r w:rsidDel="00000000" w:rsidR="00000000" w:rsidRPr="00000000">
        <w:rPr>
          <w:sz w:val="20"/>
          <w:szCs w:val="20"/>
          <w:rtl w:val="0"/>
        </w:rPr>
        <w:t xml:space="preserve">; </w:t>
      </w:r>
      <w:r w:rsidDel="00000000" w:rsidR="00000000" w:rsidRPr="00000000">
        <w:rPr>
          <w:sz w:val="20"/>
          <w:szCs w:val="20"/>
          <w:rtl w:val="0"/>
        </w:rPr>
        <w:t xml:space="preserve">sowie</w:t>
      </w:r>
      <w:r w:rsidDel="00000000" w:rsidR="00000000" w:rsidRPr="00000000">
        <w:rPr>
          <w:sz w:val="20"/>
          <w:szCs w:val="20"/>
          <w:rtl w:val="0"/>
        </w:rPr>
        <w:t xml:space="preserve"> Hestutomo Restu Kuncoro, Khuswatun Hasanah, Dyah Lupita Sari und Erna Kurniawati: »Algorithmic Influence: Twitter’s Role in Shaping Public Discourse and Amplifying Radical Content«. In: </w:t>
      </w:r>
      <w:r w:rsidDel="00000000" w:rsidR="00000000" w:rsidRPr="00000000">
        <w:rPr>
          <w:i w:val="1"/>
          <w:sz w:val="20"/>
          <w:szCs w:val="20"/>
          <w:rtl w:val="0"/>
        </w:rPr>
        <w:t xml:space="preserve">Proceedings of the 2nd International Conference on Advance Research in Social and Economic Science</w:t>
      </w:r>
      <w:r w:rsidDel="00000000" w:rsidR="00000000" w:rsidRPr="00000000">
        <w:rPr>
          <w:sz w:val="20"/>
          <w:szCs w:val="20"/>
          <w:rtl w:val="0"/>
        </w:rPr>
        <w:t xml:space="preserve"> (ICARSE 2023). Dordrecht: Atlantis Press, 2024, S. 549–553. </w:t>
      </w:r>
      <w:hyperlink r:id="rId17">
        <w:r w:rsidDel="00000000" w:rsidR="00000000" w:rsidRPr="00000000">
          <w:rPr>
            <w:color w:val="1155cc"/>
            <w:sz w:val="20"/>
            <w:szCs w:val="20"/>
            <w:u w:val="single"/>
            <w:rtl w:val="0"/>
          </w:rPr>
          <w:t xml:space="preserve">https://doi.org/10.2991/978-2-38476-247-7_55</w:t>
        </w:r>
      </w:hyperlink>
      <w:r w:rsidDel="00000000" w:rsidR="00000000" w:rsidRPr="00000000">
        <w:rPr>
          <w:sz w:val="20"/>
          <w:szCs w:val="20"/>
          <w:rtl w:val="0"/>
        </w:rPr>
        <w:t xml:space="preserve">.</w:t>
      </w:r>
    </w:p>
  </w:footnote>
  <w:footnote w:id="4">
    <w:p w:rsidR="00000000" w:rsidDel="00000000" w:rsidP="00000000" w:rsidRDefault="00000000" w:rsidRPr="00000000" w14:paraId="0000002D">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Zentral hierfür ist auch das Phänomen des »infinite scrolling«, also des kontinuierlichen Nachladens neuer Inhalte; hier durch Designänderungen punktuell explizites Nachladen zu erfordern oder ähnliche Schranken einzuziehen, reduziert die Nutzungsdauer entsprechender Apps deutlich. </w:t>
      </w:r>
      <w:r w:rsidDel="00000000" w:rsidR="00000000" w:rsidRPr="00000000">
        <w:rPr>
          <w:sz w:val="20"/>
          <w:szCs w:val="20"/>
          <w:rtl w:val="0"/>
        </w:rPr>
        <w:t xml:space="preserve">Vgl. Aditya Kumar Purohit, Louis Barclay und Adrian Holzer: »Designing for Digital Detox: Making Social Media Less Addictive with Digital Nudges«. In: </w:t>
      </w:r>
      <w:r w:rsidDel="00000000" w:rsidR="00000000" w:rsidRPr="00000000">
        <w:rPr>
          <w:i w:val="1"/>
          <w:sz w:val="20"/>
          <w:szCs w:val="20"/>
          <w:rtl w:val="0"/>
        </w:rPr>
        <w:t xml:space="preserve">Extended Abstracts of the 2020 CHI Conference on Human Factors in Computing Systems</w:t>
      </w:r>
      <w:r w:rsidDel="00000000" w:rsidR="00000000" w:rsidRPr="00000000">
        <w:rPr>
          <w:sz w:val="20"/>
          <w:szCs w:val="20"/>
          <w:rtl w:val="0"/>
        </w:rPr>
        <w:t xml:space="preserve"> (CHI EA '20). New York, NY: ACM, 2020. </w:t>
      </w:r>
      <w:hyperlink r:id="rId18">
        <w:r w:rsidDel="00000000" w:rsidR="00000000" w:rsidRPr="00000000">
          <w:rPr>
            <w:color w:val="1155cc"/>
            <w:sz w:val="20"/>
            <w:szCs w:val="20"/>
            <w:u w:val="single"/>
            <w:rtl w:val="0"/>
          </w:rPr>
          <w:t xml:space="preserve">https://doi.org/10.1145/3334480.3382810</w:t>
        </w:r>
      </w:hyperlink>
      <w:r w:rsidDel="00000000" w:rsidR="00000000" w:rsidRPr="00000000">
        <w:rPr>
          <w:sz w:val="20"/>
          <w:szCs w:val="20"/>
          <w:rtl w:val="0"/>
        </w:rPr>
        <w:t xml:space="preserve">; sowie Jan Ole Rixen, Luca-Maxim Meinhardt, Michael Glöckler, Marius-Lukas Ziegenbein, Anna Schlothauer, Mark Colley, Enrico Rukzio und Jan Gugenheimer: »The Loop and Reasons to Break It: Investigating Infinite Scrolling Behaviour in Social Media Applications and Reasons to Stop«. </w:t>
      </w:r>
      <w:r w:rsidDel="00000000" w:rsidR="00000000" w:rsidRPr="00000000">
        <w:rPr>
          <w:i w:val="1"/>
          <w:sz w:val="20"/>
          <w:szCs w:val="20"/>
          <w:rtl w:val="0"/>
        </w:rPr>
        <w:t xml:space="preserve">Proceedings of the ACM on Human-Computer Interaction</w:t>
      </w:r>
      <w:r w:rsidDel="00000000" w:rsidR="00000000" w:rsidRPr="00000000">
        <w:rPr>
          <w:sz w:val="20"/>
          <w:szCs w:val="20"/>
          <w:rtl w:val="0"/>
        </w:rPr>
        <w:t xml:space="preserve"> 7(MHCI), 2023: Article 228. </w:t>
      </w:r>
      <w:hyperlink r:id="rId19">
        <w:r w:rsidDel="00000000" w:rsidR="00000000" w:rsidRPr="00000000">
          <w:rPr>
            <w:color w:val="1155cc"/>
            <w:sz w:val="20"/>
            <w:szCs w:val="20"/>
            <w:u w:val="single"/>
            <w:rtl w:val="0"/>
          </w:rPr>
          <w:t xml:space="preserve">https://doi.org/10.1145/3604275</w:t>
        </w:r>
      </w:hyperlink>
      <w:r w:rsidDel="00000000" w:rsidR="00000000" w:rsidRPr="00000000">
        <w:rPr>
          <w:sz w:val="20"/>
          <w:szCs w:val="20"/>
          <w:rtl w:val="0"/>
        </w:rPr>
        <w:t xml:space="preserve">.</w:t>
      </w:r>
    </w:p>
  </w:footnote>
  <w:footnote w:id="18">
    <w:p w:rsidR="00000000" w:rsidDel="00000000" w:rsidP="00000000" w:rsidRDefault="00000000" w:rsidRPr="00000000" w14:paraId="0000002E">
      <w:pPr>
        <w:spacing w:line="240" w:lineRule="auto"/>
        <w:jc w:val="both"/>
        <w:rPr>
          <w:sz w:val="20"/>
          <w:szCs w:val="20"/>
          <w:highlight w:val="white"/>
        </w:rPr>
      </w:pPr>
      <w:r w:rsidDel="00000000" w:rsidR="00000000" w:rsidRPr="00000000">
        <w:rPr>
          <w:rStyle w:val="FootnoteReference"/>
          <w:vertAlign w:val="superscript"/>
        </w:rPr>
        <w:footnoteRef/>
      </w:r>
      <w:r w:rsidDel="00000000" w:rsidR="00000000" w:rsidRPr="00000000">
        <w:rPr>
          <w:sz w:val="20"/>
          <w:szCs w:val="20"/>
          <w:rtl w:val="0"/>
        </w:rPr>
        <w:t xml:space="preserve"> Hinzu kommt, </w:t>
      </w:r>
      <w:r w:rsidDel="00000000" w:rsidR="00000000" w:rsidRPr="00000000">
        <w:rPr>
          <w:sz w:val="20"/>
          <w:szCs w:val="20"/>
          <w:highlight w:val="white"/>
          <w:rtl w:val="0"/>
        </w:rPr>
        <w:t xml:space="preserve">dass die </w:t>
      </w:r>
      <w:r w:rsidDel="00000000" w:rsidR="00000000" w:rsidRPr="00000000">
        <w:rPr>
          <w:sz w:val="20"/>
          <w:szCs w:val="20"/>
          <w:highlight w:val="white"/>
          <w:rtl w:val="0"/>
        </w:rPr>
        <w:t xml:space="preserve">Moderationsarbeit</w:t>
      </w:r>
      <w:r w:rsidDel="00000000" w:rsidR="00000000" w:rsidRPr="00000000">
        <w:rPr>
          <w:sz w:val="20"/>
          <w:szCs w:val="20"/>
          <w:highlight w:val="white"/>
          <w:rtl w:val="0"/>
        </w:rPr>
        <w:t xml:space="preserve"> oft in den Globalen Süden ausgelagert wird. Sie ist meist unterbezahlt und mit schwerwiegenden psychologischen Risiken (wie etwa posttraumatischer Belastungsstörung, Angststörungen und Depressionen) verbunden, weswegen sie auch als neokoloniale </w:t>
      </w:r>
      <w:r w:rsidDel="00000000" w:rsidR="00000000" w:rsidRPr="00000000">
        <w:rPr>
          <w:sz w:val="20"/>
          <w:szCs w:val="20"/>
          <w:highlight w:val="white"/>
          <w:rtl w:val="0"/>
        </w:rPr>
        <w:t xml:space="preserve">Ausbeutungspraktik</w:t>
      </w:r>
      <w:r w:rsidDel="00000000" w:rsidR="00000000" w:rsidRPr="00000000">
        <w:rPr>
          <w:sz w:val="20"/>
          <w:szCs w:val="20"/>
          <w:highlight w:val="white"/>
          <w:rtl w:val="0"/>
        </w:rPr>
        <w:t xml:space="preserve"> kritisiert wird. Vgl. hierzu Ruth Spence, Antonia Bifulco, Paula Bradbury, Elena Martellozzo und Jeffrey DeMarco: »The Psychological Impacts of Content Moderation on Content Moderators: A Qualitative Study«. Cyberpsychology: Journal of Psychosocial Research on Cyberspace 17(4), 2023: Article 8. </w:t>
      </w:r>
      <w:hyperlink r:id="rId20">
        <w:r w:rsidDel="00000000" w:rsidR="00000000" w:rsidRPr="00000000">
          <w:rPr>
            <w:color w:val="1155cc"/>
            <w:sz w:val="20"/>
            <w:szCs w:val="20"/>
            <w:highlight w:val="white"/>
            <w:u w:val="single"/>
            <w:rtl w:val="0"/>
          </w:rPr>
          <w:t xml:space="preserve">https://doi.org/10.5817/CP2023-4-8</w:t>
        </w:r>
      </w:hyperlink>
      <w:r w:rsidDel="00000000" w:rsidR="00000000" w:rsidRPr="00000000">
        <w:rPr>
          <w:sz w:val="20"/>
          <w:szCs w:val="20"/>
          <w:highlight w:val="white"/>
          <w:rtl w:val="0"/>
        </w:rPr>
        <w:t xml:space="preserve">; sowie Jacob Breslow: »Moderating the ‘Worst of Humanity’: Sexuality, Witnessing, and the Digital Life of Coloniality«. </w:t>
      </w:r>
      <w:r w:rsidDel="00000000" w:rsidR="00000000" w:rsidRPr="00000000">
        <w:rPr>
          <w:i w:val="1"/>
          <w:sz w:val="20"/>
          <w:szCs w:val="20"/>
          <w:highlight w:val="white"/>
          <w:rtl w:val="0"/>
        </w:rPr>
        <w:t xml:space="preserve">Porn Studies</w:t>
      </w:r>
      <w:r w:rsidDel="00000000" w:rsidR="00000000" w:rsidRPr="00000000">
        <w:rPr>
          <w:sz w:val="20"/>
          <w:szCs w:val="20"/>
          <w:highlight w:val="white"/>
          <w:rtl w:val="0"/>
        </w:rPr>
        <w:t xml:space="preserve"> 5(3), 2018: S. 225–240. </w:t>
      </w:r>
      <w:hyperlink r:id="rId21">
        <w:r w:rsidDel="00000000" w:rsidR="00000000" w:rsidRPr="00000000">
          <w:rPr>
            <w:color w:val="1155cc"/>
            <w:sz w:val="20"/>
            <w:szCs w:val="20"/>
            <w:highlight w:val="white"/>
            <w:u w:val="single"/>
            <w:rtl w:val="0"/>
          </w:rPr>
          <w:t xml:space="preserve">https://doi.org/10.1080/23268743.2018.1472034</w:t>
        </w:r>
      </w:hyperlink>
      <w:r w:rsidDel="00000000" w:rsidR="00000000" w:rsidRPr="00000000">
        <w:rPr>
          <w:sz w:val="20"/>
          <w:szCs w:val="20"/>
          <w:highlight w:val="white"/>
          <w:rtl w:val="0"/>
        </w:rPr>
        <w:t xml:space="preserve">.</w:t>
      </w:r>
      <w:r w:rsidDel="00000000" w:rsidR="00000000" w:rsidRPr="00000000">
        <w:rPr>
          <w:rtl w:val="0"/>
        </w:rPr>
      </w:r>
    </w:p>
  </w:footnote>
  <w:footnote w:id="12">
    <w:p w:rsidR="00000000" w:rsidDel="00000000" w:rsidP="00000000" w:rsidRDefault="00000000" w:rsidRPr="00000000" w14:paraId="0000002F">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Siehe zu diesen beiden Begriffen auch Tanja Messingschlager und Peter Holtz: »Filter Bubbles und Echo Chambers«. In: </w:t>
      </w:r>
      <w:r w:rsidDel="00000000" w:rsidR="00000000" w:rsidRPr="00000000">
        <w:rPr>
          <w:i w:val="1"/>
          <w:sz w:val="20"/>
          <w:szCs w:val="20"/>
          <w:rtl w:val="0"/>
        </w:rPr>
        <w:t xml:space="preserve">Die Psychologie des Postfaktischen: Über Fake News, „Lügenpresse“, Clickbait &amp; Co.</w:t>
      </w:r>
      <w:r w:rsidDel="00000000" w:rsidR="00000000" w:rsidRPr="00000000">
        <w:rPr>
          <w:sz w:val="20"/>
          <w:szCs w:val="20"/>
          <w:rtl w:val="0"/>
        </w:rPr>
        <w:t xml:space="preserve">, hrsg. von Markus Appel. Berlin/Heidelberg: Springer, 2020, S. 91–102. </w:t>
      </w:r>
      <w:hyperlink r:id="rId22">
        <w:r w:rsidDel="00000000" w:rsidR="00000000" w:rsidRPr="00000000">
          <w:rPr>
            <w:color w:val="1155cc"/>
            <w:sz w:val="20"/>
            <w:szCs w:val="20"/>
            <w:u w:val="single"/>
            <w:rtl w:val="0"/>
          </w:rPr>
          <w:t xml:space="preserve">https://doi.org/10.1007/978-3-662-58695-2_9</w:t>
        </w:r>
      </w:hyperlink>
      <w:r w:rsidDel="00000000" w:rsidR="00000000" w:rsidRPr="00000000">
        <w:rPr>
          <w:sz w:val="20"/>
          <w:szCs w:val="20"/>
          <w:rtl w:val="0"/>
        </w:rPr>
        <w:t xml:space="preserve">.</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5" Type="http://schemas.openxmlformats.org/officeDocument/2006/relationships/numbering" Target="numbering.xml"/><Relationship Id="rId4" Type="http://schemas.openxmlformats.org/officeDocument/2006/relationships/footnotes" Target="footnotes.xml"/><Relationship Id="rId9"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0" Type="http://schemas.openxmlformats.org/officeDocument/2006/relationships/hyperlink" Target="https://doi.org/10.5817/CP2023-4-8" TargetMode="External"/><Relationship Id="rId11" Type="http://schemas.openxmlformats.org/officeDocument/2006/relationships/hyperlink" Target="https://doi.org/10.15460/kommges.2018.19.3.606" TargetMode="External"/><Relationship Id="rId22" Type="http://schemas.openxmlformats.org/officeDocument/2006/relationships/hyperlink" Target="https://doi.org/10.1007/978-3-662-58695-2_9" TargetMode="External"/><Relationship Id="rId10" Type="http://schemas.openxmlformats.org/officeDocument/2006/relationships/hyperlink" Target="https://www.theatlantic.com/technology/archive/2022/09/youtube-homepage-editor-google-algorithm-book-excerpt/671339/" TargetMode="External"/><Relationship Id="rId21" Type="http://schemas.openxmlformats.org/officeDocument/2006/relationships/hyperlink" Target="https://doi.org/10.1080/23268743.2018.1472034" TargetMode="External"/><Relationship Id="rId13" Type="http://schemas.openxmlformats.org/officeDocument/2006/relationships/hyperlink" Target="https://doi.org/10.1093/qje/qjr044" TargetMode="External"/><Relationship Id="rId12" Type="http://schemas.openxmlformats.org/officeDocument/2006/relationships/hyperlink" Target="https://arxiv.org/abs/2505.20963" TargetMode="External"/><Relationship Id="rId1" Type="http://schemas.openxmlformats.org/officeDocument/2006/relationships/hyperlink" Target="https://doi.org/10.5210/fm.v20i5.5423" TargetMode="External"/><Relationship Id="rId2" Type="http://schemas.openxmlformats.org/officeDocument/2006/relationships/hyperlink" Target="https://doi.org/10.1145/3447535.3462512" TargetMode="External"/><Relationship Id="rId3" Type="http://schemas.openxmlformats.org/officeDocument/2006/relationships/hyperlink" Target="https://doi.org/10.1145/2858036.2858494" TargetMode="External"/><Relationship Id="rId4" Type="http://schemas.openxmlformats.org/officeDocument/2006/relationships/hyperlink" Target="https://doi.org/10.1145/3025453.3025659" TargetMode="External"/><Relationship Id="rId9" Type="http://schemas.openxmlformats.org/officeDocument/2006/relationships/hyperlink" Target="https://research.fhstp.ac.at/projekte/no-hate-radikalisierung-und-hass-im-netz" TargetMode="External"/><Relationship Id="rId15" Type="http://schemas.openxmlformats.org/officeDocument/2006/relationships/hyperlink" Target="https://doi.org/10.1145/1864708.1864770" TargetMode="External"/><Relationship Id="rId14" Type="http://schemas.openxmlformats.org/officeDocument/2006/relationships/hyperlink" Target="https://doi.org/10.1073/pnas.1804840115" TargetMode="External"/><Relationship Id="rId17" Type="http://schemas.openxmlformats.org/officeDocument/2006/relationships/hyperlink" Target="https://doi.org/10.2991/978-2-38476-247-7_55" TargetMode="External"/><Relationship Id="rId16" Type="http://schemas.openxmlformats.org/officeDocument/2006/relationships/hyperlink" Target="https://www.theatlantic.com/technology/archive/2019/02/reason-conspiracy-videos-work-so-well-youtube/583282/" TargetMode="External"/><Relationship Id="rId5" Type="http://schemas.openxmlformats.org/officeDocument/2006/relationships/hyperlink" Target="https://doi.org/10.1145/3449148" TargetMode="External"/><Relationship Id="rId19" Type="http://schemas.openxmlformats.org/officeDocument/2006/relationships/hyperlink" Target="https://doi.org/10.1145/3604275" TargetMode="External"/><Relationship Id="rId6" Type="http://schemas.openxmlformats.org/officeDocument/2006/relationships/hyperlink" Target="https://doi.org/10.1287/mnsc.2018.3093" TargetMode="External"/><Relationship Id="rId18" Type="http://schemas.openxmlformats.org/officeDocument/2006/relationships/hyperlink" Target="https://doi.org/10.1145/3334480.3382810" TargetMode="External"/><Relationship Id="rId7" Type="http://schemas.openxmlformats.org/officeDocument/2006/relationships/hyperlink" Target="https://doi.org/10.1145/3555209" TargetMode="External"/><Relationship Id="rId8" Type="http://schemas.openxmlformats.org/officeDocument/2006/relationships/hyperlink" Target="https://doi.org/10.1177/20563051231194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2AF80B165A8EB479EF02BD439FEA0DB" ma:contentTypeVersion="0" ma:contentTypeDescription="Ein neues Dokument erstellen." ma:contentTypeScope="" ma:versionID="770aa76aecfbf99cff2057568ae41231">
  <xsd:schema xmlns:xsd="http://www.w3.org/2001/XMLSchema" xmlns:xs="http://www.w3.org/2001/XMLSchema" xmlns:p="http://schemas.microsoft.com/office/2006/metadata/properties" targetNamespace="http://schemas.microsoft.com/office/2006/metadata/properties" ma:root="true" ma:fieldsID="3b0e86e43268d7499bc47c9769927b6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704F81-BF4B-4615-9D63-6AD13B8AA8D4}"/>
</file>

<file path=customXml/itemProps2.xml><?xml version="1.0" encoding="utf-8"?>
<ds:datastoreItem xmlns:ds="http://schemas.openxmlformats.org/officeDocument/2006/customXml" ds:itemID="{132C236F-56B4-43FF-9E2C-B67A2EC518DD}"/>
</file>

<file path=customXml/itemProps3.xml><?xml version="1.0" encoding="utf-8"?>
<ds:datastoreItem xmlns:ds="http://schemas.openxmlformats.org/officeDocument/2006/customXml" ds:itemID="{759C2863-6290-4202-B510-0C641C6A1234}"/>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0x010100B2AF80B165A8EB479EF02BD439FEA0DB</vt:lpwstr>
  </property>
</Properties>
</file>